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FEA" w:rsidRPr="00D02B5F" w:rsidRDefault="00CC5FEA">
      <w:pPr>
        <w:rPr>
          <w:rFonts w:ascii="Verdana" w:hAnsi="Verdana"/>
          <w:sz w:val="20"/>
          <w:szCs w:val="20"/>
        </w:rPr>
      </w:pPr>
    </w:p>
    <w:p w:rsidR="00B5015F" w:rsidRPr="00D02B5F" w:rsidRDefault="00F94FE3" w:rsidP="00E25501">
      <w:pPr>
        <w:pStyle w:val="Sinespaciado"/>
        <w:jc w:val="both"/>
        <w:rPr>
          <w:rFonts w:ascii="Verdana" w:hAnsi="Verdana"/>
          <w:b/>
          <w:sz w:val="20"/>
          <w:szCs w:val="20"/>
        </w:rPr>
      </w:pPr>
      <w:r w:rsidRPr="00D02B5F">
        <w:rPr>
          <w:rFonts w:ascii="Verdana" w:hAnsi="Verdana"/>
          <w:b/>
          <w:sz w:val="20"/>
          <w:szCs w:val="20"/>
        </w:rPr>
        <w:t xml:space="preserve">PROCESO </w:t>
      </w:r>
      <w:r w:rsidR="00E25501" w:rsidRPr="00D02B5F">
        <w:rPr>
          <w:rFonts w:ascii="Verdana" w:hAnsi="Verdana"/>
          <w:b/>
          <w:sz w:val="20"/>
          <w:szCs w:val="20"/>
        </w:rPr>
        <w:t xml:space="preserve">PARA LA </w:t>
      </w:r>
      <w:r w:rsidRPr="00D02B5F">
        <w:rPr>
          <w:rFonts w:ascii="Verdana" w:hAnsi="Verdana"/>
          <w:b/>
          <w:sz w:val="20"/>
          <w:szCs w:val="20"/>
        </w:rPr>
        <w:t>SUPERVISIÓN EDUCATIVA PREVIO AL INICIO DEL CURSO DE NIVELACIÓN</w:t>
      </w:r>
      <w:r w:rsidR="00E25501" w:rsidRPr="00D02B5F">
        <w:rPr>
          <w:rFonts w:ascii="Verdana" w:hAnsi="Verdana"/>
          <w:b/>
          <w:sz w:val="20"/>
          <w:szCs w:val="20"/>
        </w:rPr>
        <w:t xml:space="preserve">NACIONAL,EN EL QUE SE </w:t>
      </w:r>
      <w:r w:rsidRPr="00D02B5F">
        <w:rPr>
          <w:rFonts w:ascii="Verdana" w:hAnsi="Verdana"/>
          <w:b/>
          <w:sz w:val="20"/>
          <w:szCs w:val="20"/>
        </w:rPr>
        <w:t>DETERMINA EL VALOR DE INVERSIÓN POR ESTUDIANTE</w:t>
      </w:r>
      <w:r w:rsidR="000D1F02" w:rsidRPr="00D02B5F">
        <w:rPr>
          <w:rFonts w:ascii="Verdana" w:hAnsi="Verdana"/>
          <w:b/>
          <w:sz w:val="20"/>
          <w:szCs w:val="20"/>
        </w:rPr>
        <w:t xml:space="preserve">QUE LA SENESCYT REALIZARÁ </w:t>
      </w:r>
      <w:r w:rsidR="00E25501" w:rsidRPr="00D02B5F">
        <w:rPr>
          <w:rFonts w:ascii="Verdana" w:hAnsi="Verdana"/>
          <w:b/>
          <w:sz w:val="20"/>
          <w:szCs w:val="20"/>
        </w:rPr>
        <w:t xml:space="preserve">EN EL </w:t>
      </w:r>
      <w:r w:rsidR="00B5015F" w:rsidRPr="00D02B5F">
        <w:rPr>
          <w:rFonts w:ascii="Verdana" w:hAnsi="Verdana"/>
          <w:b/>
          <w:sz w:val="20"/>
          <w:szCs w:val="20"/>
        </w:rPr>
        <w:t>PROGRAMA DE NIVELACIÓN PILOTO</w:t>
      </w:r>
    </w:p>
    <w:p w:rsidR="00E25501" w:rsidRPr="00D02B5F" w:rsidRDefault="00E25501" w:rsidP="00E25501">
      <w:pPr>
        <w:pStyle w:val="Sinespaciado"/>
        <w:jc w:val="both"/>
        <w:rPr>
          <w:rFonts w:ascii="Verdana" w:hAnsi="Verdana"/>
          <w:sz w:val="20"/>
          <w:szCs w:val="20"/>
        </w:rPr>
      </w:pPr>
    </w:p>
    <w:p w:rsidR="00D02B5F" w:rsidRPr="00D02B5F" w:rsidRDefault="00944D29" w:rsidP="00E25501">
      <w:pPr>
        <w:pStyle w:val="Sinespaciado"/>
        <w:jc w:val="both"/>
        <w:rPr>
          <w:rFonts w:ascii="Verdana" w:hAnsi="Verdana" w:cs="Times New Roman"/>
          <w:sz w:val="20"/>
          <w:szCs w:val="20"/>
          <w:lang w:val="es-ES_tradnl"/>
        </w:rPr>
      </w:pPr>
      <w:r w:rsidRPr="00944D29">
        <w:rPr>
          <w:rFonts w:ascii="Verdana" w:hAnsi="Verdana" w:cs="Times New Roman"/>
          <w:b/>
          <w:sz w:val="20"/>
          <w:szCs w:val="20"/>
          <w:lang w:val="es-ES_tradnl"/>
        </w:rPr>
        <w:t>1.- Antecedentes</w:t>
      </w:r>
      <w:r w:rsidR="00D02B5F" w:rsidRPr="00D02B5F">
        <w:rPr>
          <w:rFonts w:ascii="Verdana" w:hAnsi="Verdana" w:cs="Times New Roman"/>
          <w:sz w:val="20"/>
          <w:szCs w:val="20"/>
          <w:lang w:val="es-ES_tradnl"/>
        </w:rPr>
        <w:t>:</w:t>
      </w:r>
    </w:p>
    <w:p w:rsidR="00D02B5F" w:rsidRPr="00D02B5F" w:rsidRDefault="00D02B5F" w:rsidP="00E25501">
      <w:pPr>
        <w:pStyle w:val="Sinespaciado"/>
        <w:jc w:val="both"/>
        <w:rPr>
          <w:rFonts w:ascii="Verdana" w:hAnsi="Verdana" w:cs="Times New Roman"/>
          <w:sz w:val="20"/>
          <w:szCs w:val="20"/>
          <w:lang w:val="es-ES_tradnl"/>
        </w:rPr>
      </w:pPr>
    </w:p>
    <w:p w:rsidR="00E25501" w:rsidRPr="00D02B5F" w:rsidRDefault="00E25501" w:rsidP="00E25501">
      <w:pPr>
        <w:pStyle w:val="Sinespaciado"/>
        <w:jc w:val="both"/>
        <w:rPr>
          <w:rFonts w:ascii="Verdana" w:hAnsi="Verdana"/>
          <w:sz w:val="20"/>
          <w:szCs w:val="20"/>
        </w:rPr>
      </w:pPr>
      <w:r w:rsidRPr="00D02B5F">
        <w:rPr>
          <w:rFonts w:ascii="Verdana" w:hAnsi="Verdana" w:cs="Times New Roman"/>
          <w:sz w:val="20"/>
          <w:szCs w:val="20"/>
          <w:lang w:val="es-ES_tradnl"/>
        </w:rPr>
        <w:t>El Sistema Nacional de Nivelación y Admisió</w:t>
      </w:r>
      <w:r w:rsidR="005A5C67">
        <w:rPr>
          <w:rFonts w:ascii="Verdana" w:hAnsi="Verdana" w:cs="Times New Roman"/>
          <w:sz w:val="20"/>
          <w:szCs w:val="20"/>
          <w:lang w:val="es-ES_tradnl"/>
        </w:rPr>
        <w:t xml:space="preserve">n tiene como misión primordial </w:t>
      </w:r>
      <w:r w:rsidR="005A5C67">
        <w:rPr>
          <w:rFonts w:ascii="Verdana" w:hAnsi="Verdana"/>
          <w:sz w:val="20"/>
          <w:szCs w:val="20"/>
        </w:rPr>
        <w:t>diseñar</w:t>
      </w:r>
      <w:r w:rsidRPr="00D02B5F">
        <w:rPr>
          <w:rFonts w:ascii="Verdana" w:hAnsi="Verdana"/>
          <w:sz w:val="20"/>
          <w:szCs w:val="20"/>
        </w:rPr>
        <w:t>, implementar y administrar un Sistema de Nivelación y Admisión a las instituciones de educación superior públicas del Ecuador que garantice la pertinencia de la oferta académica y la existencia de un sistema equitativo, transparente para todos los estudiantes aspirantes, basado en la aplicación de pruebas estandarizadas debidamente validadas.</w:t>
      </w:r>
    </w:p>
    <w:p w:rsidR="00E25501" w:rsidRPr="00D02B5F" w:rsidRDefault="00E25501" w:rsidP="00E25501">
      <w:pPr>
        <w:pStyle w:val="Sinespaciado"/>
        <w:jc w:val="both"/>
        <w:rPr>
          <w:rFonts w:ascii="Verdana" w:hAnsi="Verdana" w:cs="Times New Roman"/>
          <w:sz w:val="20"/>
          <w:szCs w:val="20"/>
          <w:lang w:val="es-ES_tradnl"/>
        </w:rPr>
      </w:pPr>
    </w:p>
    <w:p w:rsidR="00E25501" w:rsidRPr="00D02B5F" w:rsidRDefault="00E25501" w:rsidP="00E25501">
      <w:pPr>
        <w:pStyle w:val="Sinespaciado"/>
        <w:jc w:val="both"/>
        <w:rPr>
          <w:rFonts w:ascii="Verdana" w:hAnsi="Verdana"/>
          <w:sz w:val="20"/>
          <w:szCs w:val="20"/>
        </w:rPr>
      </w:pPr>
      <w:r w:rsidRPr="00D02B5F">
        <w:rPr>
          <w:rFonts w:ascii="Verdana" w:hAnsi="Verdana"/>
          <w:sz w:val="20"/>
          <w:szCs w:val="20"/>
        </w:rPr>
        <w:t xml:space="preserve">La Secretaría Nacional de Educación Superior, Ciencia, Tecnología e Innovación dando cumplimiento a lo dispuesto en el artículo 81 de la Ley Orgánica de Educación Superior, ha implementado el Sistema Nacional de Nivelación y Admisión, este sistema contempla un componente de admisión de los aspirantes para ingresar a las instituciones de educación superior del Ecuador. </w:t>
      </w:r>
    </w:p>
    <w:p w:rsidR="00E25501" w:rsidRPr="00D02B5F" w:rsidRDefault="00E25501" w:rsidP="00E25501">
      <w:pPr>
        <w:pStyle w:val="Sinespaciado"/>
        <w:jc w:val="both"/>
        <w:rPr>
          <w:rFonts w:ascii="Verdana" w:hAnsi="Verdana"/>
          <w:sz w:val="20"/>
          <w:szCs w:val="20"/>
        </w:rPr>
      </w:pPr>
    </w:p>
    <w:p w:rsidR="00E25501" w:rsidRPr="00D02B5F" w:rsidRDefault="00E25501" w:rsidP="00E25501">
      <w:pPr>
        <w:pStyle w:val="Sinespaciado"/>
        <w:jc w:val="both"/>
        <w:rPr>
          <w:rFonts w:ascii="Verdana" w:hAnsi="Verdana"/>
          <w:sz w:val="20"/>
          <w:szCs w:val="20"/>
        </w:rPr>
      </w:pPr>
      <w:r w:rsidRPr="00D02B5F">
        <w:rPr>
          <w:rFonts w:ascii="Verdana" w:hAnsi="Verdana"/>
          <w:sz w:val="20"/>
          <w:szCs w:val="20"/>
        </w:rPr>
        <w:t>Dando cumplimiento a lo dispuesto en la Ley de Educación Superior, la SENESCYT plantea el Sistema de Nivelación y Admisión (SNNA), el cual se fundamentará en el principio de igualdad de oportunidades y promoverá el ingreso de bachilleres al sistema de educación superior público en función del mérito académico.</w:t>
      </w:r>
    </w:p>
    <w:p w:rsidR="00E25501" w:rsidRPr="00D02B5F" w:rsidRDefault="00E25501" w:rsidP="00E25501">
      <w:pPr>
        <w:pStyle w:val="Sinespaciado"/>
        <w:jc w:val="both"/>
        <w:rPr>
          <w:rFonts w:ascii="Verdana" w:hAnsi="Verdana"/>
          <w:sz w:val="20"/>
          <w:szCs w:val="20"/>
        </w:rPr>
      </w:pPr>
    </w:p>
    <w:p w:rsidR="00E25501" w:rsidRPr="00D02B5F" w:rsidRDefault="00E25501" w:rsidP="00E25501">
      <w:pPr>
        <w:pStyle w:val="Sinespaciado"/>
        <w:jc w:val="both"/>
        <w:rPr>
          <w:rFonts w:ascii="Verdana" w:hAnsi="Verdana"/>
          <w:sz w:val="20"/>
          <w:szCs w:val="20"/>
        </w:rPr>
      </w:pPr>
      <w:r w:rsidRPr="00D02B5F">
        <w:rPr>
          <w:rFonts w:ascii="Verdana" w:hAnsi="Verdana"/>
          <w:sz w:val="20"/>
          <w:szCs w:val="20"/>
        </w:rPr>
        <w:t>La aplicación del SNNA tiene alcance nacional y se desarrollará en dos etapas denominadas “Componentes”.</w:t>
      </w:r>
    </w:p>
    <w:p w:rsidR="00E25501" w:rsidRPr="00D02B5F" w:rsidRDefault="00E25501" w:rsidP="00E25501">
      <w:pPr>
        <w:pStyle w:val="Sinespaciado"/>
        <w:jc w:val="both"/>
        <w:rPr>
          <w:rFonts w:ascii="Verdana" w:hAnsi="Verdana"/>
          <w:sz w:val="20"/>
          <w:szCs w:val="20"/>
        </w:rPr>
      </w:pPr>
    </w:p>
    <w:p w:rsidR="00E25501" w:rsidRPr="00D02B5F" w:rsidRDefault="00E25501" w:rsidP="00E25501">
      <w:pPr>
        <w:pStyle w:val="Sinespaciado"/>
        <w:jc w:val="both"/>
        <w:rPr>
          <w:rFonts w:ascii="Verdana" w:hAnsi="Verdana"/>
          <w:sz w:val="20"/>
          <w:szCs w:val="20"/>
        </w:rPr>
      </w:pPr>
      <w:r w:rsidRPr="00D02B5F">
        <w:rPr>
          <w:rFonts w:ascii="Verdana" w:hAnsi="Verdana"/>
          <w:sz w:val="20"/>
          <w:szCs w:val="20"/>
        </w:rPr>
        <w:t>El “</w:t>
      </w:r>
      <w:r w:rsidR="00944D29" w:rsidRPr="00D02B5F">
        <w:rPr>
          <w:rFonts w:ascii="Verdana" w:hAnsi="Verdana"/>
          <w:sz w:val="20"/>
          <w:szCs w:val="20"/>
        </w:rPr>
        <w:t xml:space="preserve">Componente </w:t>
      </w:r>
      <w:r w:rsidRPr="00D02B5F">
        <w:rPr>
          <w:rFonts w:ascii="Verdana" w:hAnsi="Verdana"/>
          <w:sz w:val="20"/>
          <w:szCs w:val="20"/>
        </w:rPr>
        <w:t>I” constituye un sistema único e integrado de INSCRIPCIÓN Y ADMISIÓN de bachilleres que implica la toma de un examen nacional para la educación superior</w:t>
      </w:r>
      <w:r w:rsidR="00944D29">
        <w:rPr>
          <w:rFonts w:ascii="Verdana" w:hAnsi="Verdana"/>
          <w:sz w:val="20"/>
          <w:szCs w:val="20"/>
        </w:rPr>
        <w:t>,</w:t>
      </w:r>
      <w:r w:rsidRPr="00D02B5F">
        <w:rPr>
          <w:rFonts w:ascii="Verdana" w:hAnsi="Verdana"/>
          <w:sz w:val="20"/>
          <w:szCs w:val="20"/>
        </w:rPr>
        <w:t xml:space="preserve"> con el fin de definir el ingreso a la nivelación (propedéutico, preuniversitario, prepolitécnico, pretecnológico o su equivalente). </w:t>
      </w:r>
    </w:p>
    <w:p w:rsidR="00E25501" w:rsidRPr="00D02B5F" w:rsidRDefault="00E25501" w:rsidP="00E25501">
      <w:pPr>
        <w:pStyle w:val="Sinespaciado"/>
        <w:jc w:val="both"/>
        <w:rPr>
          <w:rFonts w:ascii="Verdana" w:hAnsi="Verdana"/>
          <w:sz w:val="20"/>
          <w:szCs w:val="20"/>
        </w:rPr>
      </w:pPr>
    </w:p>
    <w:p w:rsidR="00E25501" w:rsidRPr="00D02B5F" w:rsidRDefault="00E25501" w:rsidP="00E25501">
      <w:pPr>
        <w:pStyle w:val="Sinespaciado"/>
        <w:jc w:val="both"/>
        <w:rPr>
          <w:rFonts w:ascii="Verdana" w:hAnsi="Verdana"/>
          <w:sz w:val="20"/>
          <w:szCs w:val="20"/>
        </w:rPr>
      </w:pPr>
      <w:r w:rsidRPr="00D02B5F">
        <w:rPr>
          <w:rFonts w:ascii="Verdana" w:hAnsi="Verdana"/>
          <w:sz w:val="20"/>
          <w:szCs w:val="20"/>
        </w:rPr>
        <w:t xml:space="preserve">El “Componente II” pondrá énfasis en el proceso de nivelación previo al ingreso a la carrera en el sistema de educación superior, este se planificará e implementará en cada una de las Instituciones de Educación Superior, bajo su normativa interna y los lineamientos que para el efecto emitirá la SENESCYT. </w:t>
      </w:r>
    </w:p>
    <w:p w:rsidR="00E25501" w:rsidRPr="00D02B5F" w:rsidRDefault="00E25501" w:rsidP="00E25501">
      <w:pPr>
        <w:pStyle w:val="Sinespaciado"/>
        <w:jc w:val="both"/>
        <w:rPr>
          <w:rFonts w:ascii="Verdana" w:hAnsi="Verdana"/>
          <w:sz w:val="20"/>
          <w:szCs w:val="20"/>
        </w:rPr>
      </w:pPr>
    </w:p>
    <w:p w:rsidR="00E25501" w:rsidRPr="00D02B5F" w:rsidRDefault="00E25501" w:rsidP="00E25501">
      <w:pPr>
        <w:pStyle w:val="Sinespaciado"/>
        <w:jc w:val="both"/>
        <w:rPr>
          <w:rFonts w:ascii="Verdana" w:hAnsi="Verdana"/>
          <w:sz w:val="20"/>
          <w:szCs w:val="20"/>
        </w:rPr>
      </w:pPr>
      <w:r w:rsidRPr="00D02B5F">
        <w:rPr>
          <w:rFonts w:ascii="Verdana" w:hAnsi="Verdana" w:cs="Times New Roman"/>
          <w:sz w:val="20"/>
          <w:szCs w:val="20"/>
          <w:lang w:val="es-ES_tradnl"/>
        </w:rPr>
        <w:t xml:space="preserve">En este sentido es importante </w:t>
      </w:r>
      <w:r w:rsidR="00944D29">
        <w:rPr>
          <w:rFonts w:ascii="Verdana" w:hAnsi="Verdana" w:cs="Times New Roman"/>
          <w:sz w:val="20"/>
          <w:szCs w:val="20"/>
          <w:lang w:val="es-ES_tradnl"/>
        </w:rPr>
        <w:t>que previo al inicio del curso de nivelación nacional, se realice la Supervisión Educativa de las Instituciones de Educación Superior que participan en la implementación del componente de nivelación del Sistema Nacional de Nivelación y Admisión (SNNA), en sus modalidades de nivelación de grupos de alto rendimiento (GAR), nivelación por carreras y nivelación general.</w:t>
      </w:r>
    </w:p>
    <w:p w:rsidR="00E25501" w:rsidRPr="00D02B5F" w:rsidRDefault="00E25501" w:rsidP="00F94FE3">
      <w:pPr>
        <w:jc w:val="both"/>
        <w:rPr>
          <w:rFonts w:ascii="Verdana" w:hAnsi="Verdana"/>
          <w:b/>
          <w:sz w:val="20"/>
          <w:szCs w:val="20"/>
        </w:rPr>
      </w:pPr>
    </w:p>
    <w:p w:rsidR="00F94FE3" w:rsidRPr="00D02B5F" w:rsidRDefault="002A53B8" w:rsidP="00F94FE3">
      <w:pPr>
        <w:jc w:val="both"/>
        <w:rPr>
          <w:rFonts w:ascii="Verdana" w:hAnsi="Verdana"/>
          <w:b/>
          <w:sz w:val="20"/>
          <w:szCs w:val="20"/>
        </w:rPr>
      </w:pPr>
      <w:r>
        <w:rPr>
          <w:rFonts w:ascii="Verdana" w:hAnsi="Verdana"/>
          <w:b/>
          <w:sz w:val="20"/>
          <w:szCs w:val="20"/>
        </w:rPr>
        <w:t>2</w:t>
      </w:r>
      <w:r w:rsidR="00F94FE3" w:rsidRPr="00D02B5F">
        <w:rPr>
          <w:rFonts w:ascii="Verdana" w:hAnsi="Verdana"/>
          <w:b/>
          <w:sz w:val="20"/>
          <w:szCs w:val="20"/>
        </w:rPr>
        <w:t>.  Objeto</w:t>
      </w:r>
    </w:p>
    <w:p w:rsidR="00F94FE3" w:rsidRPr="00D02B5F" w:rsidRDefault="00F94FE3" w:rsidP="00BD7B0E">
      <w:pPr>
        <w:pStyle w:val="Sinespaciado"/>
        <w:jc w:val="both"/>
        <w:rPr>
          <w:rFonts w:ascii="Verdana" w:hAnsi="Verdana"/>
          <w:sz w:val="20"/>
          <w:szCs w:val="20"/>
        </w:rPr>
      </w:pPr>
      <w:r w:rsidRPr="00D02B5F">
        <w:rPr>
          <w:rFonts w:ascii="Verdana" w:hAnsi="Verdana"/>
          <w:sz w:val="20"/>
          <w:szCs w:val="20"/>
        </w:rPr>
        <w:t xml:space="preserve">El </w:t>
      </w:r>
      <w:r w:rsidR="002A53B8">
        <w:rPr>
          <w:rFonts w:ascii="Verdana" w:hAnsi="Verdana"/>
          <w:sz w:val="20"/>
          <w:szCs w:val="20"/>
        </w:rPr>
        <w:t xml:space="preserve">objeto de este proceso es la </w:t>
      </w:r>
      <w:r w:rsidRPr="00D02B5F">
        <w:rPr>
          <w:rFonts w:ascii="Verdana" w:hAnsi="Verdana"/>
          <w:sz w:val="20"/>
          <w:szCs w:val="20"/>
        </w:rPr>
        <w:t xml:space="preserve">constatación, validación, evaluación y retroalimentación de las IES sobre el cumplimiento y calidad de </w:t>
      </w:r>
      <w:r w:rsidR="00004B76">
        <w:rPr>
          <w:rFonts w:ascii="Verdana" w:hAnsi="Verdana"/>
          <w:sz w:val="20"/>
          <w:szCs w:val="20"/>
        </w:rPr>
        <w:t>tres</w:t>
      </w:r>
      <w:r w:rsidRPr="00D02B5F">
        <w:rPr>
          <w:rFonts w:ascii="Verdana" w:hAnsi="Verdana"/>
          <w:sz w:val="20"/>
          <w:szCs w:val="20"/>
        </w:rPr>
        <w:t xml:space="preserve"> componentes de la supervisión educativa: administración educativa, administración curricular</w:t>
      </w:r>
      <w:r w:rsidR="00004B76">
        <w:rPr>
          <w:rFonts w:ascii="Verdana" w:hAnsi="Verdana"/>
          <w:sz w:val="20"/>
          <w:szCs w:val="20"/>
        </w:rPr>
        <w:t xml:space="preserve"> y</w:t>
      </w:r>
      <w:r w:rsidRPr="00D02B5F">
        <w:rPr>
          <w:rFonts w:ascii="Verdana" w:hAnsi="Verdana"/>
          <w:sz w:val="20"/>
          <w:szCs w:val="20"/>
        </w:rPr>
        <w:t xml:space="preserve"> gestión de ambientes de aprendizaje</w:t>
      </w:r>
      <w:r w:rsidR="00004B76">
        <w:rPr>
          <w:rFonts w:ascii="Verdana" w:hAnsi="Verdana"/>
          <w:sz w:val="20"/>
          <w:szCs w:val="20"/>
        </w:rPr>
        <w:t>, previo al inicio del Curso de Nivelación,</w:t>
      </w:r>
      <w:r w:rsidRPr="00D02B5F">
        <w:rPr>
          <w:rFonts w:ascii="Verdana" w:hAnsi="Verdana"/>
          <w:sz w:val="20"/>
          <w:szCs w:val="20"/>
        </w:rPr>
        <w:t xml:space="preserve"> en el marco de las políticas, estrategias y objetivos contenidos en los lineamientos del curso de nivelación</w:t>
      </w:r>
      <w:r w:rsidR="00004B76">
        <w:rPr>
          <w:rFonts w:ascii="Verdana" w:hAnsi="Verdana"/>
          <w:sz w:val="20"/>
          <w:szCs w:val="20"/>
        </w:rPr>
        <w:t xml:space="preserve"> y para la determinación del valor de inversión por estudiante que la SENESCYT entregará a cada Institución de Educación Superior</w:t>
      </w:r>
      <w:r w:rsidRPr="00D02B5F">
        <w:rPr>
          <w:rFonts w:ascii="Verdana" w:hAnsi="Verdana"/>
          <w:sz w:val="20"/>
          <w:szCs w:val="20"/>
        </w:rPr>
        <w:t>.</w:t>
      </w:r>
    </w:p>
    <w:p w:rsidR="00BD7B0E" w:rsidRDefault="00BD7B0E" w:rsidP="00BD7B0E">
      <w:pPr>
        <w:pStyle w:val="Sinespaciado"/>
        <w:jc w:val="both"/>
        <w:rPr>
          <w:rFonts w:ascii="Verdana" w:hAnsi="Verdana"/>
          <w:sz w:val="20"/>
          <w:szCs w:val="20"/>
        </w:rPr>
      </w:pPr>
    </w:p>
    <w:p w:rsidR="002A53B8" w:rsidRPr="00D02B5F" w:rsidRDefault="002A53B8" w:rsidP="00BD7B0E">
      <w:pPr>
        <w:pStyle w:val="Sinespaciado"/>
        <w:jc w:val="both"/>
        <w:rPr>
          <w:rFonts w:ascii="Verdana" w:hAnsi="Verdana"/>
          <w:sz w:val="20"/>
          <w:szCs w:val="20"/>
        </w:rPr>
      </w:pPr>
    </w:p>
    <w:p w:rsidR="00F94FE3" w:rsidRPr="00D02B5F" w:rsidRDefault="002A53B8" w:rsidP="00F94FE3">
      <w:pPr>
        <w:pStyle w:val="Textoindependiente"/>
        <w:tabs>
          <w:tab w:val="left" w:pos="900"/>
        </w:tabs>
        <w:outlineLvl w:val="0"/>
        <w:rPr>
          <w:rFonts w:ascii="Verdana" w:hAnsi="Verdana" w:cs="Arial"/>
          <w:bCs w:val="0"/>
          <w:spacing w:val="-2"/>
          <w:sz w:val="20"/>
          <w:szCs w:val="20"/>
          <w:lang w:val="es-EC"/>
        </w:rPr>
      </w:pPr>
      <w:r>
        <w:rPr>
          <w:rFonts w:ascii="Verdana" w:hAnsi="Verdana" w:cs="Arial"/>
          <w:bCs w:val="0"/>
          <w:spacing w:val="-2"/>
          <w:sz w:val="20"/>
          <w:szCs w:val="20"/>
          <w:lang w:val="es-EC"/>
        </w:rPr>
        <w:t>3</w:t>
      </w:r>
      <w:r w:rsidR="00F94FE3" w:rsidRPr="00D02B5F">
        <w:rPr>
          <w:rFonts w:ascii="Verdana" w:hAnsi="Verdana" w:cs="Arial"/>
          <w:bCs w:val="0"/>
          <w:spacing w:val="-2"/>
          <w:sz w:val="20"/>
          <w:szCs w:val="20"/>
          <w:lang w:val="es-EC"/>
        </w:rPr>
        <w:t>. Objetivo</w:t>
      </w:r>
    </w:p>
    <w:p w:rsidR="00F94FE3" w:rsidRPr="00D02B5F" w:rsidRDefault="00F94FE3" w:rsidP="00F94FE3">
      <w:pPr>
        <w:pStyle w:val="Textoindependiente"/>
        <w:tabs>
          <w:tab w:val="left" w:pos="900"/>
        </w:tabs>
        <w:outlineLvl w:val="0"/>
        <w:rPr>
          <w:rFonts w:ascii="Verdana" w:hAnsi="Verdana" w:cs="Arial"/>
          <w:b w:val="0"/>
          <w:bCs w:val="0"/>
          <w:spacing w:val="-2"/>
          <w:sz w:val="20"/>
          <w:szCs w:val="20"/>
          <w:lang w:val="es-EC"/>
        </w:rPr>
      </w:pPr>
    </w:p>
    <w:p w:rsidR="00F94FE3" w:rsidRPr="00D02B5F" w:rsidRDefault="002A53B8" w:rsidP="00BD7B0E">
      <w:pPr>
        <w:pStyle w:val="Sinespaciado"/>
        <w:jc w:val="both"/>
        <w:rPr>
          <w:rFonts w:ascii="Verdana" w:hAnsi="Verdana"/>
          <w:sz w:val="20"/>
          <w:szCs w:val="20"/>
        </w:rPr>
      </w:pPr>
      <w:r>
        <w:rPr>
          <w:rFonts w:ascii="Verdana" w:hAnsi="Verdana"/>
          <w:sz w:val="20"/>
          <w:szCs w:val="20"/>
        </w:rPr>
        <w:t xml:space="preserve">El objetivo es </w:t>
      </w:r>
      <w:r w:rsidR="00F94FE3" w:rsidRPr="00D02B5F">
        <w:rPr>
          <w:rFonts w:ascii="Verdana" w:hAnsi="Verdana"/>
          <w:sz w:val="20"/>
          <w:szCs w:val="20"/>
        </w:rPr>
        <w:t>Supervisar y evaluar la</w:t>
      </w:r>
      <w:r w:rsidR="00004B76">
        <w:rPr>
          <w:rFonts w:ascii="Verdana" w:hAnsi="Verdana"/>
          <w:sz w:val="20"/>
          <w:szCs w:val="20"/>
        </w:rPr>
        <w:t xml:space="preserve">scapacidades de </w:t>
      </w:r>
      <w:r w:rsidR="00F94FE3" w:rsidRPr="00D02B5F">
        <w:rPr>
          <w:rFonts w:ascii="Verdana" w:hAnsi="Verdana"/>
          <w:sz w:val="20"/>
          <w:szCs w:val="20"/>
        </w:rPr>
        <w:t xml:space="preserve">gestión educativa de las </w:t>
      </w:r>
      <w:r>
        <w:rPr>
          <w:rFonts w:ascii="Verdana" w:hAnsi="Verdana"/>
          <w:sz w:val="20"/>
          <w:szCs w:val="20"/>
        </w:rPr>
        <w:t>Instituciones de Educación Superior que p</w:t>
      </w:r>
      <w:r w:rsidR="00F94FE3" w:rsidRPr="00D02B5F">
        <w:rPr>
          <w:rFonts w:ascii="Verdana" w:hAnsi="Verdana"/>
          <w:sz w:val="20"/>
          <w:szCs w:val="20"/>
        </w:rPr>
        <w:t>articipan en la implementación del componente de nivelación del SNNA en sus modalidades de nivelación por carrera, nivelación de grupos de alto rendimiento y nivelación general</w:t>
      </w:r>
      <w:r w:rsidR="00004B76">
        <w:rPr>
          <w:rFonts w:ascii="Verdana" w:hAnsi="Verdana"/>
          <w:sz w:val="20"/>
          <w:szCs w:val="20"/>
        </w:rPr>
        <w:t xml:space="preserve">, previo a su inicio con miras a determinar el valor de la inversión por estudiante, que la SENESCYT entregará a cada Institución de Educación Superior por este concepto. </w:t>
      </w:r>
    </w:p>
    <w:p w:rsidR="00BD7B0E" w:rsidRPr="00D02B5F" w:rsidRDefault="00BD7B0E" w:rsidP="00BD7B0E">
      <w:pPr>
        <w:pStyle w:val="Sinespaciado"/>
        <w:jc w:val="both"/>
        <w:rPr>
          <w:rFonts w:ascii="Verdana" w:hAnsi="Verdana"/>
          <w:sz w:val="20"/>
          <w:szCs w:val="20"/>
        </w:rPr>
      </w:pPr>
    </w:p>
    <w:p w:rsidR="00F94FE3" w:rsidRPr="00D02B5F" w:rsidRDefault="00F94FE3" w:rsidP="00F94FE3">
      <w:pPr>
        <w:pStyle w:val="Textoindependiente"/>
        <w:tabs>
          <w:tab w:val="left" w:pos="900"/>
        </w:tabs>
        <w:outlineLvl w:val="0"/>
        <w:rPr>
          <w:rFonts w:ascii="Verdana" w:hAnsi="Verdana" w:cs="Arial"/>
          <w:bCs w:val="0"/>
          <w:spacing w:val="-2"/>
          <w:sz w:val="20"/>
          <w:szCs w:val="20"/>
          <w:lang w:val="es-EC"/>
        </w:rPr>
      </w:pPr>
      <w:r w:rsidRPr="00D02B5F">
        <w:rPr>
          <w:rFonts w:ascii="Verdana" w:hAnsi="Verdana" w:cs="Arial"/>
          <w:bCs w:val="0"/>
          <w:spacing w:val="-2"/>
          <w:sz w:val="20"/>
          <w:szCs w:val="20"/>
          <w:lang w:val="es-EC"/>
        </w:rPr>
        <w:t>2.1. Objetivos Específicos</w:t>
      </w:r>
    </w:p>
    <w:p w:rsidR="00F94FE3" w:rsidRPr="00D02B5F" w:rsidRDefault="00F94FE3" w:rsidP="00F94FE3">
      <w:pPr>
        <w:pStyle w:val="Textoindependiente"/>
        <w:ind w:left="360"/>
        <w:rPr>
          <w:rFonts w:ascii="Verdana" w:hAnsi="Verdana" w:cs="Arial"/>
          <w:b w:val="0"/>
          <w:bCs w:val="0"/>
          <w:spacing w:val="-2"/>
          <w:sz w:val="20"/>
          <w:szCs w:val="20"/>
          <w:lang w:val="es-EC"/>
        </w:rPr>
      </w:pPr>
    </w:p>
    <w:p w:rsidR="00F94FE3" w:rsidRPr="00004B76" w:rsidRDefault="00F94FE3" w:rsidP="005B56E3">
      <w:pPr>
        <w:pStyle w:val="Textoindependiente"/>
        <w:numPr>
          <w:ilvl w:val="0"/>
          <w:numId w:val="14"/>
        </w:numPr>
        <w:rPr>
          <w:rFonts w:ascii="Verdana" w:hAnsi="Verdana" w:cs="Arial"/>
          <w:b w:val="0"/>
          <w:bCs w:val="0"/>
          <w:color w:val="000000" w:themeColor="text1"/>
          <w:spacing w:val="-2"/>
          <w:sz w:val="20"/>
          <w:szCs w:val="20"/>
          <w:lang w:val="es-EC"/>
        </w:rPr>
      </w:pPr>
      <w:r w:rsidRPr="00004B76">
        <w:rPr>
          <w:rFonts w:ascii="Verdana" w:hAnsi="Verdana" w:cs="Arial"/>
          <w:b w:val="0"/>
          <w:bCs w:val="0"/>
          <w:color w:val="000000" w:themeColor="text1"/>
          <w:spacing w:val="-2"/>
          <w:sz w:val="20"/>
          <w:szCs w:val="20"/>
          <w:lang w:val="es-EC"/>
        </w:rPr>
        <w:t>Aplicar la guía de supervisión educativa  en cada una de las universidades, con el objetivo de evaluar las condiciones de apertura del desempeño del curso de nivelación</w:t>
      </w:r>
      <w:r w:rsidR="00004B76" w:rsidRPr="00004B76">
        <w:rPr>
          <w:rFonts w:ascii="Verdana" w:hAnsi="Verdana" w:cs="Arial"/>
          <w:b w:val="0"/>
          <w:bCs w:val="0"/>
          <w:color w:val="000000" w:themeColor="text1"/>
          <w:spacing w:val="-2"/>
          <w:sz w:val="20"/>
          <w:szCs w:val="20"/>
          <w:lang w:val="es-EC"/>
        </w:rPr>
        <w:t>,</w:t>
      </w:r>
      <w:r w:rsidRPr="00004B76">
        <w:rPr>
          <w:rFonts w:ascii="Verdana" w:hAnsi="Verdana" w:cs="Arial"/>
          <w:b w:val="0"/>
          <w:bCs w:val="0"/>
          <w:color w:val="000000" w:themeColor="text1"/>
          <w:spacing w:val="-2"/>
          <w:sz w:val="20"/>
          <w:szCs w:val="20"/>
          <w:lang w:val="es-EC"/>
        </w:rPr>
        <w:t xml:space="preserve"> en sus diferentes modalidades de carrera, grupo de alto rendimiento y general.</w:t>
      </w:r>
    </w:p>
    <w:p w:rsidR="00F94FE3" w:rsidRPr="00004B76" w:rsidRDefault="00F94FE3" w:rsidP="00F94FE3">
      <w:pPr>
        <w:pStyle w:val="Textoindependiente"/>
        <w:ind w:left="720"/>
        <w:rPr>
          <w:rFonts w:ascii="Verdana" w:hAnsi="Verdana" w:cs="Arial"/>
          <w:b w:val="0"/>
          <w:bCs w:val="0"/>
          <w:color w:val="000000" w:themeColor="text1"/>
          <w:spacing w:val="-2"/>
          <w:sz w:val="20"/>
          <w:szCs w:val="20"/>
          <w:lang w:val="es-EC"/>
        </w:rPr>
      </w:pPr>
    </w:p>
    <w:p w:rsidR="00004B76" w:rsidRPr="00004B76" w:rsidRDefault="00F94FE3" w:rsidP="00004B76">
      <w:pPr>
        <w:pStyle w:val="Textoindependiente"/>
        <w:numPr>
          <w:ilvl w:val="0"/>
          <w:numId w:val="14"/>
        </w:numPr>
        <w:rPr>
          <w:rFonts w:ascii="Verdana" w:hAnsi="Verdana" w:cs="Calibri"/>
          <w:b w:val="0"/>
          <w:color w:val="000000" w:themeColor="text1"/>
          <w:sz w:val="20"/>
          <w:szCs w:val="20"/>
          <w:lang w:val="es-ES"/>
        </w:rPr>
      </w:pPr>
      <w:r w:rsidRPr="00004B76">
        <w:rPr>
          <w:rFonts w:ascii="Verdana" w:hAnsi="Verdana"/>
          <w:b w:val="0"/>
          <w:bCs w:val="0"/>
          <w:color w:val="000000" w:themeColor="text1"/>
          <w:sz w:val="20"/>
          <w:szCs w:val="20"/>
          <w:lang w:val="es-EC"/>
        </w:rPr>
        <w:t>Supervisar y retroalimentar a las IES para insertarlas en procesos de mejora continua</w:t>
      </w:r>
      <w:r w:rsidRPr="00004B76">
        <w:rPr>
          <w:rFonts w:ascii="Verdana" w:hAnsi="Verdana"/>
          <w:b w:val="0"/>
          <w:bCs w:val="0"/>
          <w:color w:val="000000" w:themeColor="text1"/>
          <w:sz w:val="20"/>
          <w:szCs w:val="20"/>
        </w:rPr>
        <w:t xml:space="preserve">, </w:t>
      </w:r>
      <w:r w:rsidR="001668E1" w:rsidRPr="00004B76">
        <w:rPr>
          <w:rFonts w:ascii="Verdana" w:hAnsi="Verdana"/>
          <w:b w:val="0"/>
          <w:bCs w:val="0"/>
          <w:color w:val="000000" w:themeColor="text1"/>
          <w:sz w:val="20"/>
          <w:szCs w:val="20"/>
        </w:rPr>
        <w:t>sobre</w:t>
      </w:r>
      <w:r w:rsidRPr="00004B76">
        <w:rPr>
          <w:rFonts w:ascii="Verdana" w:hAnsi="Verdana"/>
          <w:b w:val="0"/>
          <w:bCs w:val="0"/>
          <w:color w:val="000000" w:themeColor="text1"/>
          <w:sz w:val="20"/>
          <w:szCs w:val="20"/>
        </w:rPr>
        <w:t xml:space="preserve"> los resultados y alternativas de superación de las debilidades que se presentan en los tres componentes de supervisión educativa, previo al inicio la nivelación.  </w:t>
      </w:r>
    </w:p>
    <w:p w:rsidR="00004B76" w:rsidRPr="00004B76" w:rsidRDefault="00004B76" w:rsidP="00004B76">
      <w:pPr>
        <w:pStyle w:val="Prrafodelista"/>
        <w:rPr>
          <w:rFonts w:ascii="Verdana" w:hAnsi="Verdana"/>
          <w:b/>
          <w:bCs/>
          <w:color w:val="000000" w:themeColor="text1"/>
          <w:sz w:val="20"/>
          <w:szCs w:val="20"/>
          <w:lang w:val="es-EC"/>
        </w:rPr>
      </w:pPr>
    </w:p>
    <w:p w:rsidR="00BD7B0E" w:rsidRPr="00004B76" w:rsidRDefault="00BD7B0E" w:rsidP="00004B76">
      <w:pPr>
        <w:pStyle w:val="Textoindependiente"/>
        <w:numPr>
          <w:ilvl w:val="0"/>
          <w:numId w:val="14"/>
        </w:numPr>
        <w:rPr>
          <w:rFonts w:ascii="Verdana" w:hAnsi="Verdana" w:cs="Calibri"/>
          <w:b w:val="0"/>
          <w:color w:val="000000" w:themeColor="text1"/>
          <w:sz w:val="20"/>
          <w:szCs w:val="20"/>
          <w:lang w:val="es-ES"/>
        </w:rPr>
      </w:pPr>
      <w:r w:rsidRPr="00004B76">
        <w:rPr>
          <w:rFonts w:ascii="Verdana" w:hAnsi="Verdana"/>
          <w:b w:val="0"/>
          <w:bCs w:val="0"/>
          <w:color w:val="000000" w:themeColor="text1"/>
          <w:sz w:val="20"/>
          <w:szCs w:val="20"/>
          <w:lang w:val="es-EC"/>
        </w:rPr>
        <w:t>Evaluar</w:t>
      </w:r>
      <w:r w:rsidRPr="00004B76">
        <w:rPr>
          <w:rFonts w:ascii="Verdana" w:hAnsi="Verdana"/>
          <w:b w:val="0"/>
          <w:bCs w:val="0"/>
          <w:color w:val="000000" w:themeColor="text1"/>
          <w:sz w:val="20"/>
          <w:szCs w:val="20"/>
        </w:rPr>
        <w:t xml:space="preserve"> e informar a cada IES sobre el estado de los componentes de la supervisión educativa, previo al inicio del curso de nivelación para garantizar la calidad de los contextos de planificación educativa y curricular y  ambientes de aprendizaje que definirán la inversión por estudiantes que realizará la SEN</w:t>
      </w:r>
      <w:bookmarkStart w:id="0" w:name="_GoBack"/>
      <w:bookmarkEnd w:id="0"/>
      <w:r w:rsidRPr="00004B76">
        <w:rPr>
          <w:rFonts w:ascii="Verdana" w:hAnsi="Verdana"/>
          <w:b w:val="0"/>
          <w:bCs w:val="0"/>
          <w:color w:val="000000" w:themeColor="text1"/>
          <w:sz w:val="20"/>
          <w:szCs w:val="20"/>
        </w:rPr>
        <w:t>ESCYT,  en función de la tabla de valores creada para el efecto.</w:t>
      </w:r>
    </w:p>
    <w:p w:rsidR="00F94FE3" w:rsidRPr="00004B76" w:rsidRDefault="00F94FE3" w:rsidP="00004B76">
      <w:pPr>
        <w:pStyle w:val="Textoindependiente"/>
        <w:ind w:left="720"/>
        <w:rPr>
          <w:rFonts w:ascii="Verdana" w:hAnsi="Verdana" w:cs="Calibri"/>
          <w:b w:val="0"/>
          <w:color w:val="000000" w:themeColor="text1"/>
          <w:sz w:val="20"/>
          <w:szCs w:val="20"/>
          <w:lang w:val="es-ES"/>
        </w:rPr>
      </w:pPr>
    </w:p>
    <w:p w:rsidR="00F94FE3" w:rsidRPr="00D02B5F" w:rsidRDefault="00F94FE3" w:rsidP="00F94FE3">
      <w:pPr>
        <w:pStyle w:val="Textoindependiente"/>
        <w:rPr>
          <w:rFonts w:ascii="Verdana" w:hAnsi="Verdana"/>
          <w:b w:val="0"/>
          <w:bCs w:val="0"/>
          <w:color w:val="000000"/>
          <w:sz w:val="20"/>
          <w:szCs w:val="20"/>
        </w:rPr>
      </w:pPr>
    </w:p>
    <w:p w:rsidR="00F94FE3" w:rsidRPr="00D02B5F" w:rsidRDefault="00F94FE3" w:rsidP="00B5015F">
      <w:pPr>
        <w:pStyle w:val="Textoindependiente"/>
        <w:rPr>
          <w:rFonts w:ascii="Verdana" w:hAnsi="Verdana" w:cs="Calibri"/>
          <w:b w:val="0"/>
          <w:color w:val="FFFFFF"/>
          <w:sz w:val="20"/>
          <w:szCs w:val="20"/>
          <w:lang w:val="es-ES"/>
        </w:rPr>
      </w:pPr>
      <w:r w:rsidRPr="00D02B5F">
        <w:rPr>
          <w:rFonts w:ascii="Verdana" w:hAnsi="Verdana" w:cs="Calibri"/>
          <w:b w:val="0"/>
          <w:color w:val="FFFFFF"/>
          <w:sz w:val="20"/>
          <w:szCs w:val="20"/>
          <w:lang w:val="es-ES"/>
        </w:rPr>
        <w:t>3</w:t>
      </w:r>
      <w:r w:rsidR="00B5015F" w:rsidRPr="00D02B5F">
        <w:rPr>
          <w:rFonts w:ascii="Verdana" w:hAnsi="Verdana" w:cs="Calibri"/>
          <w:color w:val="000000" w:themeColor="text1"/>
          <w:sz w:val="20"/>
          <w:szCs w:val="20"/>
          <w:lang w:val="es-ES"/>
        </w:rPr>
        <w:t>3</w:t>
      </w:r>
      <w:r w:rsidR="00B5015F" w:rsidRPr="00D02B5F">
        <w:rPr>
          <w:rFonts w:ascii="Verdana" w:hAnsi="Verdana" w:cs="Calibri"/>
          <w:b w:val="0"/>
          <w:color w:val="000000" w:themeColor="text1"/>
          <w:sz w:val="20"/>
          <w:szCs w:val="20"/>
          <w:lang w:val="es-ES"/>
        </w:rPr>
        <w:t xml:space="preserve">. </w:t>
      </w:r>
      <w:r w:rsidRPr="00D02B5F">
        <w:rPr>
          <w:rFonts w:ascii="Verdana" w:hAnsi="Verdana" w:cs="Arial"/>
          <w:bCs w:val="0"/>
          <w:color w:val="000000" w:themeColor="text1"/>
          <w:spacing w:val="-2"/>
          <w:sz w:val="20"/>
          <w:szCs w:val="20"/>
          <w:lang w:val="es-EC"/>
        </w:rPr>
        <w:t>Componentes</w:t>
      </w:r>
      <w:r w:rsidRPr="00D02B5F">
        <w:rPr>
          <w:rFonts w:ascii="Verdana" w:hAnsi="Verdana" w:cs="Arial"/>
          <w:bCs w:val="0"/>
          <w:spacing w:val="-2"/>
          <w:sz w:val="20"/>
          <w:szCs w:val="20"/>
          <w:lang w:val="es-EC"/>
        </w:rPr>
        <w:t xml:space="preserve"> de la Supervisión</w:t>
      </w:r>
    </w:p>
    <w:p w:rsidR="00F94FE3" w:rsidRPr="00D02B5F" w:rsidRDefault="00F94FE3" w:rsidP="00F94FE3">
      <w:pPr>
        <w:pStyle w:val="Textoindependiente"/>
        <w:tabs>
          <w:tab w:val="left" w:pos="900"/>
        </w:tabs>
        <w:ind w:left="360"/>
        <w:outlineLvl w:val="0"/>
        <w:rPr>
          <w:rFonts w:ascii="Verdana" w:hAnsi="Verdana" w:cs="Arial"/>
          <w:bCs w:val="0"/>
          <w:spacing w:val="-2"/>
          <w:sz w:val="20"/>
          <w:szCs w:val="20"/>
          <w:lang w:val="es-EC"/>
        </w:rPr>
      </w:pPr>
    </w:p>
    <w:p w:rsidR="00F94FE3" w:rsidRPr="00D02B5F" w:rsidRDefault="00B5015F" w:rsidP="00B5015F">
      <w:pPr>
        <w:pStyle w:val="Textoindependiente"/>
        <w:tabs>
          <w:tab w:val="left" w:pos="900"/>
        </w:tabs>
        <w:outlineLvl w:val="0"/>
        <w:rPr>
          <w:rFonts w:ascii="Verdana" w:hAnsi="Verdana" w:cs="Arial"/>
          <w:b w:val="0"/>
          <w:bCs w:val="0"/>
          <w:spacing w:val="-2"/>
          <w:sz w:val="20"/>
          <w:szCs w:val="20"/>
          <w:lang w:val="es-EC"/>
        </w:rPr>
      </w:pPr>
      <w:r w:rsidRPr="00D02B5F">
        <w:rPr>
          <w:rFonts w:ascii="Verdana" w:hAnsi="Verdana" w:cs="Arial"/>
          <w:b w:val="0"/>
          <w:bCs w:val="0"/>
          <w:spacing w:val="-2"/>
          <w:sz w:val="20"/>
          <w:szCs w:val="20"/>
          <w:lang w:val="es-EC"/>
        </w:rPr>
        <w:t>Los componentes de la supervisión inicial son los siguientes:</w:t>
      </w:r>
    </w:p>
    <w:p w:rsidR="00572164" w:rsidRPr="00D02B5F" w:rsidRDefault="00572164" w:rsidP="00B5015F">
      <w:pPr>
        <w:pStyle w:val="Textoindependiente"/>
        <w:tabs>
          <w:tab w:val="left" w:pos="900"/>
        </w:tabs>
        <w:outlineLvl w:val="0"/>
        <w:rPr>
          <w:rFonts w:ascii="Verdana" w:hAnsi="Verdana" w:cs="Arial"/>
          <w:b w:val="0"/>
          <w:bCs w:val="0"/>
          <w:spacing w:val="-2"/>
          <w:sz w:val="20"/>
          <w:szCs w:val="20"/>
          <w:lang w:val="es-EC"/>
        </w:rPr>
      </w:pPr>
    </w:p>
    <w:p w:rsidR="00B5015F" w:rsidRPr="00D02B5F" w:rsidRDefault="00572164" w:rsidP="00B5015F">
      <w:pPr>
        <w:pStyle w:val="Textoindependiente"/>
        <w:tabs>
          <w:tab w:val="left" w:pos="900"/>
        </w:tabs>
        <w:outlineLvl w:val="0"/>
        <w:rPr>
          <w:rFonts w:ascii="Verdana" w:hAnsi="Verdana" w:cs="Arial"/>
          <w:bCs w:val="0"/>
          <w:spacing w:val="-2"/>
          <w:sz w:val="20"/>
          <w:szCs w:val="20"/>
          <w:lang w:val="es-EC"/>
        </w:rPr>
      </w:pPr>
      <w:r w:rsidRPr="00D02B5F">
        <w:rPr>
          <w:rFonts w:ascii="Verdana" w:hAnsi="Verdana" w:cs="Arial"/>
          <w:bCs w:val="0"/>
          <w:spacing w:val="-2"/>
          <w:sz w:val="20"/>
          <w:szCs w:val="20"/>
          <w:lang w:val="es-EC"/>
        </w:rPr>
        <w:t xml:space="preserve">3.1. </w:t>
      </w:r>
      <w:r w:rsidR="00B5015F" w:rsidRPr="00D02B5F">
        <w:rPr>
          <w:rFonts w:ascii="Verdana" w:hAnsi="Verdana" w:cs="Arial"/>
          <w:bCs w:val="0"/>
          <w:spacing w:val="-2"/>
          <w:sz w:val="20"/>
          <w:szCs w:val="20"/>
          <w:lang w:val="es-EC"/>
        </w:rPr>
        <w:t>Componente 1:</w:t>
      </w:r>
    </w:p>
    <w:p w:rsidR="001668E1" w:rsidRPr="00D02B5F" w:rsidRDefault="001668E1" w:rsidP="00B5015F">
      <w:pPr>
        <w:pStyle w:val="Textoindependiente"/>
        <w:tabs>
          <w:tab w:val="left" w:pos="900"/>
        </w:tabs>
        <w:outlineLvl w:val="0"/>
        <w:rPr>
          <w:rFonts w:ascii="Verdana" w:hAnsi="Verdana" w:cs="Arial"/>
          <w:b w:val="0"/>
          <w:bCs w:val="0"/>
          <w:spacing w:val="-2"/>
          <w:sz w:val="20"/>
          <w:szCs w:val="20"/>
          <w:lang w:val="es-EC"/>
        </w:rPr>
      </w:pPr>
    </w:p>
    <w:p w:rsidR="00572164" w:rsidRPr="00D02B5F" w:rsidRDefault="00B5015F" w:rsidP="00B5015F">
      <w:pPr>
        <w:pStyle w:val="Textoindependiente"/>
        <w:tabs>
          <w:tab w:val="left" w:pos="900"/>
        </w:tabs>
        <w:outlineLvl w:val="0"/>
        <w:rPr>
          <w:rFonts w:ascii="Verdana" w:hAnsi="Verdana" w:cs="Arial"/>
          <w:b w:val="0"/>
          <w:bCs w:val="0"/>
          <w:spacing w:val="-2"/>
          <w:sz w:val="20"/>
          <w:szCs w:val="20"/>
          <w:lang w:val="es-EC"/>
        </w:rPr>
      </w:pPr>
      <w:r w:rsidRPr="00D02B5F">
        <w:rPr>
          <w:rFonts w:ascii="Verdana" w:hAnsi="Verdana" w:cs="Arial"/>
          <w:b w:val="0"/>
          <w:bCs w:val="0"/>
          <w:spacing w:val="-2"/>
          <w:sz w:val="20"/>
          <w:szCs w:val="20"/>
          <w:lang w:val="es-EC"/>
        </w:rPr>
        <w:t>Este componente se refiere a la administración educativa  que está configurada por dos variables: la planificación educativa y el sistema de seguimiento</w:t>
      </w:r>
      <w:r w:rsidR="00572164" w:rsidRPr="00D02B5F">
        <w:rPr>
          <w:rFonts w:ascii="Verdana" w:hAnsi="Verdana" w:cs="Arial"/>
          <w:b w:val="0"/>
          <w:bCs w:val="0"/>
          <w:spacing w:val="-2"/>
          <w:sz w:val="20"/>
          <w:szCs w:val="20"/>
          <w:lang w:val="es-EC"/>
        </w:rPr>
        <w:t>.</w:t>
      </w:r>
    </w:p>
    <w:p w:rsidR="001668E1" w:rsidRPr="00D02B5F" w:rsidRDefault="001668E1" w:rsidP="00B5015F">
      <w:pPr>
        <w:pStyle w:val="Textoindependiente"/>
        <w:tabs>
          <w:tab w:val="left" w:pos="900"/>
        </w:tabs>
        <w:outlineLvl w:val="0"/>
        <w:rPr>
          <w:rFonts w:ascii="Verdana" w:hAnsi="Verdana" w:cs="Arial"/>
          <w:b w:val="0"/>
          <w:bCs w:val="0"/>
          <w:spacing w:val="-2"/>
          <w:sz w:val="20"/>
          <w:szCs w:val="20"/>
          <w:lang w:val="es-EC"/>
        </w:rPr>
      </w:pPr>
    </w:p>
    <w:p w:rsidR="00B5015F" w:rsidRPr="00D02B5F" w:rsidRDefault="00572164" w:rsidP="00B5015F">
      <w:pPr>
        <w:pStyle w:val="Textoindependiente"/>
        <w:tabs>
          <w:tab w:val="left" w:pos="900"/>
        </w:tabs>
        <w:outlineLvl w:val="0"/>
        <w:rPr>
          <w:rFonts w:ascii="Verdana" w:hAnsi="Verdana" w:cs="Arial"/>
          <w:b w:val="0"/>
          <w:bCs w:val="0"/>
          <w:spacing w:val="-2"/>
          <w:sz w:val="20"/>
          <w:szCs w:val="20"/>
          <w:lang w:val="es-EC"/>
        </w:rPr>
      </w:pPr>
      <w:r w:rsidRPr="00D02B5F">
        <w:rPr>
          <w:rFonts w:ascii="Verdana" w:hAnsi="Verdana" w:cs="Arial"/>
          <w:b w:val="0"/>
          <w:bCs w:val="0"/>
          <w:spacing w:val="-2"/>
          <w:sz w:val="20"/>
          <w:szCs w:val="20"/>
          <w:lang w:val="es-EC"/>
        </w:rPr>
        <w:t xml:space="preserve">La administración educativa se refiere a las capacidades de las IES, para la organización de estructuras académicas y su seguimiento. </w:t>
      </w:r>
    </w:p>
    <w:p w:rsidR="00B5015F" w:rsidRPr="00D02B5F" w:rsidRDefault="00B5015F" w:rsidP="00B5015F">
      <w:pPr>
        <w:pStyle w:val="Textoindependiente"/>
        <w:tabs>
          <w:tab w:val="left" w:pos="900"/>
        </w:tabs>
        <w:outlineLvl w:val="0"/>
        <w:rPr>
          <w:rFonts w:ascii="Verdana" w:hAnsi="Verdana" w:cs="Arial"/>
          <w:b w:val="0"/>
          <w:bCs w:val="0"/>
          <w:spacing w:val="-2"/>
          <w:sz w:val="20"/>
          <w:szCs w:val="20"/>
          <w:lang w:val="es-EC"/>
        </w:rPr>
      </w:pPr>
    </w:p>
    <w:p w:rsidR="00B5015F" w:rsidRPr="00D02B5F" w:rsidRDefault="00B5015F" w:rsidP="00B5015F">
      <w:pPr>
        <w:tabs>
          <w:tab w:val="left" w:pos="8789"/>
        </w:tabs>
        <w:spacing w:after="0" w:line="240" w:lineRule="auto"/>
        <w:ind w:right="49"/>
        <w:jc w:val="center"/>
        <w:rPr>
          <w:rFonts w:ascii="Verdana" w:hAnsi="Verdana"/>
          <w:sz w:val="20"/>
          <w:szCs w:val="20"/>
        </w:rPr>
      </w:pPr>
    </w:p>
    <w:p w:rsidR="00B5015F" w:rsidRPr="00D02B5F" w:rsidRDefault="00B5015F" w:rsidP="002A53B8">
      <w:pPr>
        <w:pStyle w:val="Prrafodelista"/>
        <w:jc w:val="center"/>
        <w:rPr>
          <w:rFonts w:ascii="Verdana" w:hAnsi="Verdana"/>
          <w:sz w:val="20"/>
          <w:szCs w:val="20"/>
          <w:lang w:val="es-ES_tradnl"/>
        </w:rPr>
      </w:pPr>
      <w:r w:rsidRPr="00D02B5F">
        <w:rPr>
          <w:rFonts w:ascii="Verdana" w:hAnsi="Verdana"/>
          <w:noProof/>
          <w:sz w:val="20"/>
          <w:szCs w:val="20"/>
        </w:rPr>
        <w:lastRenderedPageBreak/>
        <w:drawing>
          <wp:inline distT="0" distB="0" distL="0" distR="0">
            <wp:extent cx="4630588" cy="3209026"/>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634230" cy="3211550"/>
                    </a:xfrm>
                    <a:prstGeom prst="rect">
                      <a:avLst/>
                    </a:prstGeom>
                    <a:noFill/>
                  </pic:spPr>
                </pic:pic>
              </a:graphicData>
            </a:graphic>
          </wp:inline>
        </w:drawing>
      </w:r>
    </w:p>
    <w:p w:rsidR="00B5015F" w:rsidRPr="00D02B5F" w:rsidRDefault="001668E1" w:rsidP="008271A1">
      <w:pPr>
        <w:jc w:val="both"/>
        <w:rPr>
          <w:rFonts w:ascii="Verdana" w:hAnsi="Verdana"/>
          <w:b/>
          <w:sz w:val="20"/>
          <w:szCs w:val="20"/>
          <w:lang w:val="es-ES_tradnl"/>
        </w:rPr>
      </w:pPr>
      <w:r w:rsidRPr="00D02B5F">
        <w:rPr>
          <w:rFonts w:ascii="Verdana" w:hAnsi="Verdana"/>
          <w:b/>
          <w:sz w:val="20"/>
          <w:szCs w:val="20"/>
          <w:lang w:val="es-ES_tradnl"/>
        </w:rPr>
        <w:t xml:space="preserve">3.2  </w:t>
      </w:r>
      <w:r w:rsidR="00B5015F" w:rsidRPr="00D02B5F">
        <w:rPr>
          <w:rFonts w:ascii="Verdana" w:hAnsi="Verdana"/>
          <w:b/>
          <w:sz w:val="20"/>
          <w:szCs w:val="20"/>
          <w:lang w:val="es-ES_tradnl"/>
        </w:rPr>
        <w:t>Componente 2</w:t>
      </w:r>
      <w:r w:rsidRPr="00D02B5F">
        <w:rPr>
          <w:rFonts w:ascii="Verdana" w:hAnsi="Verdana"/>
          <w:b/>
          <w:sz w:val="20"/>
          <w:szCs w:val="20"/>
          <w:lang w:val="es-ES_tradnl"/>
        </w:rPr>
        <w:t>:</w:t>
      </w:r>
    </w:p>
    <w:p w:rsidR="00B5015F" w:rsidRPr="00D02B5F" w:rsidRDefault="00572164" w:rsidP="00572164">
      <w:pPr>
        <w:jc w:val="both"/>
        <w:rPr>
          <w:rFonts w:ascii="Verdana" w:hAnsi="Verdana"/>
          <w:sz w:val="20"/>
          <w:szCs w:val="20"/>
          <w:lang w:val="es-ES_tradnl"/>
        </w:rPr>
      </w:pPr>
      <w:r w:rsidRPr="00D02B5F">
        <w:rPr>
          <w:rFonts w:ascii="Verdana" w:hAnsi="Verdana"/>
          <w:sz w:val="20"/>
          <w:szCs w:val="20"/>
          <w:lang w:val="es-ES_tradnl"/>
        </w:rPr>
        <w:t>El componente 2 hace referencia a la administración curricular, objeto sustantivo del curso de nivelación, porque integra el proyecto educativo, las capacidades para el desarrollo de la gestión curricular, el sistema de evaluación y el diseño de ambientes de aprendizaje.</w:t>
      </w:r>
    </w:p>
    <w:p w:rsidR="00572164" w:rsidRPr="00D02B5F" w:rsidRDefault="008271A1" w:rsidP="002A53B8">
      <w:pPr>
        <w:jc w:val="center"/>
        <w:rPr>
          <w:rFonts w:ascii="Verdana" w:hAnsi="Verdana"/>
          <w:sz w:val="20"/>
          <w:szCs w:val="20"/>
        </w:rPr>
      </w:pPr>
      <w:r w:rsidRPr="00D02B5F">
        <w:rPr>
          <w:rFonts w:ascii="Verdana" w:hAnsi="Verdana"/>
          <w:noProof/>
          <w:sz w:val="20"/>
          <w:szCs w:val="20"/>
        </w:rPr>
        <w:drawing>
          <wp:inline distT="0" distB="0" distL="0" distR="0">
            <wp:extent cx="4488180" cy="2299970"/>
            <wp:effectExtent l="1905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488180" cy="2299970"/>
                    </a:xfrm>
                    <a:prstGeom prst="rect">
                      <a:avLst/>
                    </a:prstGeom>
                    <a:noFill/>
                  </pic:spPr>
                </pic:pic>
              </a:graphicData>
            </a:graphic>
          </wp:inline>
        </w:drawing>
      </w:r>
    </w:p>
    <w:p w:rsidR="00572164" w:rsidRPr="00D02B5F" w:rsidRDefault="001668E1" w:rsidP="00572164">
      <w:pPr>
        <w:jc w:val="both"/>
        <w:rPr>
          <w:rFonts w:ascii="Verdana" w:hAnsi="Verdana"/>
          <w:b/>
          <w:sz w:val="20"/>
          <w:szCs w:val="20"/>
          <w:lang w:val="es-ES_tradnl"/>
        </w:rPr>
      </w:pPr>
      <w:r w:rsidRPr="00D02B5F">
        <w:rPr>
          <w:rFonts w:ascii="Verdana" w:hAnsi="Verdana"/>
          <w:b/>
          <w:sz w:val="20"/>
          <w:szCs w:val="20"/>
          <w:lang w:val="es-ES_tradnl"/>
        </w:rPr>
        <w:t xml:space="preserve">3.3 </w:t>
      </w:r>
      <w:r w:rsidR="008271A1" w:rsidRPr="00D02B5F">
        <w:rPr>
          <w:rFonts w:ascii="Verdana" w:hAnsi="Verdana"/>
          <w:b/>
          <w:sz w:val="20"/>
          <w:szCs w:val="20"/>
          <w:lang w:val="es-ES_tradnl"/>
        </w:rPr>
        <w:t xml:space="preserve">Componente 3 </w:t>
      </w:r>
    </w:p>
    <w:p w:rsidR="008271A1" w:rsidRPr="00D02B5F" w:rsidRDefault="008271A1" w:rsidP="00572164">
      <w:pPr>
        <w:jc w:val="both"/>
        <w:rPr>
          <w:rFonts w:ascii="Verdana" w:hAnsi="Verdana"/>
          <w:sz w:val="20"/>
          <w:szCs w:val="20"/>
          <w:lang w:val="es-ES_tradnl"/>
        </w:rPr>
      </w:pPr>
      <w:r w:rsidRPr="00D02B5F">
        <w:rPr>
          <w:rFonts w:ascii="Verdana" w:hAnsi="Verdana"/>
          <w:sz w:val="20"/>
          <w:szCs w:val="20"/>
          <w:lang w:val="es-ES_tradnl"/>
        </w:rPr>
        <w:t>El componente 3</w:t>
      </w:r>
      <w:r w:rsidR="006B3CF7" w:rsidRPr="00D02B5F">
        <w:rPr>
          <w:rFonts w:ascii="Verdana" w:hAnsi="Verdana"/>
          <w:sz w:val="20"/>
          <w:szCs w:val="20"/>
          <w:lang w:val="es-ES_tradnl"/>
        </w:rPr>
        <w:t>,</w:t>
      </w:r>
      <w:r w:rsidRPr="00D02B5F">
        <w:rPr>
          <w:rFonts w:ascii="Verdana" w:hAnsi="Verdana"/>
          <w:sz w:val="20"/>
          <w:szCs w:val="20"/>
          <w:lang w:val="es-ES_tradnl"/>
        </w:rPr>
        <w:t xml:space="preserve"> hace referencia a las capacidades que tienen las IES para el desarrollo e implementación de ambientes de aprendizaje de carácter interactivo, de alta conectividad, que propicie espacios de trabajo para los equipos colaborativos, de integración de saberes y de gestión educativa  integral.</w:t>
      </w:r>
    </w:p>
    <w:p w:rsidR="006B3CF7" w:rsidRPr="00D02B5F" w:rsidRDefault="006B3CF7" w:rsidP="00572164">
      <w:pPr>
        <w:jc w:val="both"/>
        <w:rPr>
          <w:rFonts w:ascii="Verdana" w:hAnsi="Verdana"/>
          <w:sz w:val="20"/>
          <w:szCs w:val="20"/>
          <w:lang w:val="es-ES_tradnl"/>
        </w:rPr>
      </w:pPr>
    </w:p>
    <w:p w:rsidR="008271A1" w:rsidRPr="00D02B5F" w:rsidRDefault="008271A1" w:rsidP="002A53B8">
      <w:pPr>
        <w:jc w:val="center"/>
        <w:rPr>
          <w:rFonts w:ascii="Verdana" w:hAnsi="Verdana"/>
          <w:sz w:val="20"/>
          <w:szCs w:val="20"/>
          <w:lang w:val="es-ES_tradnl"/>
        </w:rPr>
      </w:pPr>
      <w:r w:rsidRPr="00D02B5F">
        <w:rPr>
          <w:rFonts w:ascii="Verdana" w:hAnsi="Verdana"/>
          <w:noProof/>
          <w:sz w:val="20"/>
          <w:szCs w:val="20"/>
        </w:rPr>
        <w:lastRenderedPageBreak/>
        <w:drawing>
          <wp:inline distT="0" distB="0" distL="0" distR="0">
            <wp:extent cx="4285595" cy="3516996"/>
            <wp:effectExtent l="0" t="0" r="127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288234" cy="3519161"/>
                    </a:xfrm>
                    <a:prstGeom prst="rect">
                      <a:avLst/>
                    </a:prstGeom>
                    <a:noFill/>
                  </pic:spPr>
                </pic:pic>
              </a:graphicData>
            </a:graphic>
          </wp:inline>
        </w:drawing>
      </w:r>
    </w:p>
    <w:p w:rsidR="008271A1" w:rsidRPr="00D02B5F" w:rsidRDefault="008271A1" w:rsidP="00572164">
      <w:pPr>
        <w:jc w:val="both"/>
        <w:rPr>
          <w:rFonts w:ascii="Verdana" w:hAnsi="Verdana"/>
          <w:sz w:val="20"/>
          <w:szCs w:val="20"/>
          <w:lang w:val="es-ES_tradnl"/>
        </w:rPr>
      </w:pPr>
    </w:p>
    <w:p w:rsidR="00572164" w:rsidRPr="00D02B5F" w:rsidRDefault="00572164" w:rsidP="008271A1">
      <w:pPr>
        <w:pStyle w:val="Prrafodelista"/>
        <w:numPr>
          <w:ilvl w:val="0"/>
          <w:numId w:val="10"/>
        </w:numPr>
        <w:rPr>
          <w:rFonts w:ascii="Verdana" w:hAnsi="Verdana"/>
          <w:b/>
          <w:sz w:val="20"/>
          <w:szCs w:val="20"/>
        </w:rPr>
      </w:pPr>
      <w:r w:rsidRPr="00D02B5F">
        <w:rPr>
          <w:rFonts w:ascii="Verdana" w:hAnsi="Verdana"/>
          <w:b/>
          <w:sz w:val="20"/>
          <w:szCs w:val="20"/>
        </w:rPr>
        <w:t>Estándares de Calidad</w:t>
      </w:r>
    </w:p>
    <w:p w:rsidR="00572164" w:rsidRPr="00D02B5F" w:rsidRDefault="00572164" w:rsidP="00572164">
      <w:pPr>
        <w:pStyle w:val="Prrafodelista"/>
        <w:rPr>
          <w:rFonts w:ascii="Verdana" w:hAnsi="Verdana"/>
          <w:b/>
          <w:sz w:val="20"/>
          <w:szCs w:val="20"/>
        </w:rPr>
      </w:pPr>
    </w:p>
    <w:p w:rsidR="00572164" w:rsidRPr="00D02B5F" w:rsidRDefault="00572164" w:rsidP="00572164">
      <w:pPr>
        <w:pStyle w:val="Prrafodelista"/>
        <w:rPr>
          <w:rFonts w:ascii="Verdana" w:hAnsi="Verdana"/>
          <w:b/>
          <w:sz w:val="20"/>
          <w:szCs w:val="20"/>
        </w:rPr>
      </w:pPr>
      <w:r w:rsidRPr="00D02B5F">
        <w:rPr>
          <w:rFonts w:ascii="Verdana" w:hAnsi="Verdana"/>
          <w:b/>
          <w:sz w:val="20"/>
          <w:szCs w:val="20"/>
        </w:rPr>
        <w:t>Componente 1: Administración Educativa</w:t>
      </w:r>
    </w:p>
    <w:p w:rsidR="00572164" w:rsidRPr="00D02B5F" w:rsidRDefault="00572164" w:rsidP="00572164">
      <w:pPr>
        <w:pStyle w:val="Prrafodelista"/>
        <w:rPr>
          <w:rFonts w:ascii="Verdana" w:hAnsi="Verdana"/>
          <w:sz w:val="20"/>
          <w:szCs w:val="20"/>
        </w:rPr>
      </w:pPr>
    </w:p>
    <w:p w:rsidR="00572164" w:rsidRPr="00D02B5F" w:rsidRDefault="00572164" w:rsidP="006B3CF7">
      <w:pPr>
        <w:pStyle w:val="Prrafodelista"/>
        <w:numPr>
          <w:ilvl w:val="0"/>
          <w:numId w:val="9"/>
        </w:numPr>
        <w:jc w:val="both"/>
        <w:rPr>
          <w:rFonts w:ascii="Verdana" w:hAnsi="Verdana"/>
          <w:sz w:val="20"/>
          <w:szCs w:val="20"/>
        </w:rPr>
      </w:pPr>
      <w:r w:rsidRPr="00D02B5F">
        <w:rPr>
          <w:rFonts w:ascii="Verdana" w:hAnsi="Verdana"/>
          <w:sz w:val="20"/>
          <w:szCs w:val="20"/>
        </w:rPr>
        <w:t xml:space="preserve">La IES ha socializado el proyecto del curso de nivelación de la SENESCYT y las unidades académicas conocen  los componentes,  estándares e indicadores de evaluación.  </w:t>
      </w:r>
    </w:p>
    <w:p w:rsidR="00572164" w:rsidRPr="00D02B5F" w:rsidRDefault="00572164" w:rsidP="006B3CF7">
      <w:pPr>
        <w:pStyle w:val="Prrafodelista"/>
        <w:numPr>
          <w:ilvl w:val="0"/>
          <w:numId w:val="9"/>
        </w:numPr>
        <w:jc w:val="both"/>
        <w:rPr>
          <w:rFonts w:ascii="Verdana" w:hAnsi="Verdana"/>
          <w:sz w:val="20"/>
          <w:szCs w:val="20"/>
        </w:rPr>
      </w:pPr>
      <w:r w:rsidRPr="00D02B5F">
        <w:rPr>
          <w:rFonts w:ascii="Verdana" w:hAnsi="Verdana"/>
          <w:sz w:val="20"/>
          <w:szCs w:val="20"/>
        </w:rPr>
        <w:t>Todas las unidades académicas de la IES cuenta</w:t>
      </w:r>
      <w:r w:rsidR="006B3CF7" w:rsidRPr="00D02B5F">
        <w:rPr>
          <w:rFonts w:ascii="Verdana" w:hAnsi="Verdana"/>
          <w:sz w:val="20"/>
          <w:szCs w:val="20"/>
        </w:rPr>
        <w:t>n</w:t>
      </w:r>
      <w:r w:rsidRPr="00D02B5F">
        <w:rPr>
          <w:rFonts w:ascii="Verdana" w:hAnsi="Verdana"/>
          <w:sz w:val="20"/>
          <w:szCs w:val="20"/>
        </w:rPr>
        <w:t xml:space="preserve">  con una planificación educativa, que evidencie la contextualización y adaptación del proyecto del curso de nivelación en lo referente a políticas, estrategias, propósitos y actividades</w:t>
      </w:r>
    </w:p>
    <w:p w:rsidR="00572164" w:rsidRPr="00D02B5F" w:rsidRDefault="00572164" w:rsidP="006B3CF7">
      <w:pPr>
        <w:pStyle w:val="Prrafodelista"/>
        <w:numPr>
          <w:ilvl w:val="0"/>
          <w:numId w:val="9"/>
        </w:numPr>
        <w:jc w:val="both"/>
        <w:rPr>
          <w:rFonts w:ascii="Verdana" w:hAnsi="Verdana"/>
          <w:sz w:val="20"/>
          <w:szCs w:val="20"/>
        </w:rPr>
      </w:pPr>
      <w:r w:rsidRPr="00D02B5F">
        <w:rPr>
          <w:rFonts w:ascii="Verdana" w:hAnsi="Verdana"/>
          <w:sz w:val="20"/>
          <w:szCs w:val="20"/>
        </w:rPr>
        <w:t>Las unidades académicas de la IES han elaborado un proceso planificado de seguimiento y control de los indicadores de administración educativa.</w:t>
      </w:r>
    </w:p>
    <w:p w:rsidR="00572164" w:rsidRPr="00D02B5F" w:rsidRDefault="00572164" w:rsidP="006B3CF7">
      <w:pPr>
        <w:pStyle w:val="Prrafodelista"/>
        <w:numPr>
          <w:ilvl w:val="0"/>
          <w:numId w:val="9"/>
        </w:numPr>
        <w:jc w:val="both"/>
        <w:rPr>
          <w:rFonts w:ascii="Verdana" w:hAnsi="Verdana"/>
          <w:sz w:val="20"/>
          <w:szCs w:val="20"/>
        </w:rPr>
      </w:pPr>
      <w:r w:rsidRPr="00D02B5F">
        <w:rPr>
          <w:rFonts w:ascii="Verdana" w:hAnsi="Verdana"/>
          <w:sz w:val="20"/>
          <w:szCs w:val="20"/>
        </w:rPr>
        <w:t>Las unidades académicas de la IES cuenta</w:t>
      </w:r>
      <w:r w:rsidR="006B3CF7" w:rsidRPr="00D02B5F">
        <w:rPr>
          <w:rFonts w:ascii="Verdana" w:hAnsi="Verdana"/>
          <w:sz w:val="20"/>
          <w:szCs w:val="20"/>
        </w:rPr>
        <w:t>n</w:t>
      </w:r>
      <w:r w:rsidRPr="00D02B5F">
        <w:rPr>
          <w:rFonts w:ascii="Verdana" w:hAnsi="Verdana"/>
          <w:sz w:val="20"/>
          <w:szCs w:val="20"/>
        </w:rPr>
        <w:t xml:space="preserve"> con una estructura organizacional de</w:t>
      </w:r>
      <w:r w:rsidR="006B3CF7" w:rsidRPr="00D02B5F">
        <w:rPr>
          <w:rFonts w:ascii="Verdana" w:hAnsi="Verdana"/>
          <w:sz w:val="20"/>
          <w:szCs w:val="20"/>
        </w:rPr>
        <w:t xml:space="preserve"> gestión educativa, que garantizan</w:t>
      </w:r>
      <w:r w:rsidRPr="00D02B5F">
        <w:rPr>
          <w:rFonts w:ascii="Verdana" w:hAnsi="Verdana"/>
          <w:sz w:val="20"/>
          <w:szCs w:val="20"/>
        </w:rPr>
        <w:t xml:space="preserve"> el cumplimiento de las políticas, estrategias y </w:t>
      </w:r>
      <w:r w:rsidR="006B3CF7" w:rsidRPr="00D02B5F">
        <w:rPr>
          <w:rFonts w:ascii="Verdana" w:hAnsi="Verdana"/>
          <w:sz w:val="20"/>
          <w:szCs w:val="20"/>
        </w:rPr>
        <w:t xml:space="preserve">el </w:t>
      </w:r>
      <w:r w:rsidRPr="00D02B5F">
        <w:rPr>
          <w:rFonts w:ascii="Verdana" w:hAnsi="Verdana"/>
          <w:sz w:val="20"/>
          <w:szCs w:val="20"/>
        </w:rPr>
        <w:t>proyecto de nivelación del SNNA.</w:t>
      </w:r>
    </w:p>
    <w:p w:rsidR="00572164" w:rsidRPr="00D02B5F" w:rsidRDefault="00572164" w:rsidP="006B3CF7">
      <w:pPr>
        <w:pStyle w:val="Prrafodelista"/>
        <w:numPr>
          <w:ilvl w:val="0"/>
          <w:numId w:val="9"/>
        </w:numPr>
        <w:jc w:val="both"/>
        <w:rPr>
          <w:rFonts w:ascii="Verdana" w:hAnsi="Verdana"/>
          <w:sz w:val="20"/>
          <w:szCs w:val="20"/>
        </w:rPr>
      </w:pPr>
      <w:r w:rsidRPr="00D02B5F">
        <w:rPr>
          <w:rFonts w:ascii="Verdana" w:hAnsi="Verdana"/>
          <w:sz w:val="20"/>
          <w:szCs w:val="20"/>
        </w:rPr>
        <w:t xml:space="preserve">La IES ha incorporado en la planificación de las unidades académicas un proceso de resolución de problemas que incorpore la participación de los actores educativos involucrados en la nivelación.  </w:t>
      </w:r>
    </w:p>
    <w:p w:rsidR="00572164" w:rsidRDefault="00572164" w:rsidP="006B3CF7">
      <w:pPr>
        <w:pStyle w:val="Prrafodelista"/>
        <w:numPr>
          <w:ilvl w:val="0"/>
          <w:numId w:val="9"/>
        </w:numPr>
        <w:jc w:val="both"/>
        <w:rPr>
          <w:rFonts w:ascii="Verdana" w:hAnsi="Verdana"/>
          <w:sz w:val="20"/>
          <w:szCs w:val="20"/>
        </w:rPr>
      </w:pPr>
      <w:r w:rsidRPr="00D02B5F">
        <w:rPr>
          <w:rFonts w:ascii="Verdana" w:hAnsi="Verdana"/>
          <w:sz w:val="20"/>
          <w:szCs w:val="20"/>
        </w:rPr>
        <w:t>La IES cuenta con una planificación de organización académica en cuanto a: calendario académico, horarios, distributivos docentes y de aulas, paralelos y grupos de trabajo que evidencie el cumplimiento de los lineamientos presentados en el proyecto de curso de nivelación otorgado por la SENESCYT.</w:t>
      </w:r>
    </w:p>
    <w:p w:rsidR="002A53B8" w:rsidRPr="00D02B5F" w:rsidRDefault="002A53B8" w:rsidP="002A53B8">
      <w:pPr>
        <w:pStyle w:val="Prrafodelista"/>
        <w:ind w:left="1440"/>
        <w:jc w:val="both"/>
        <w:rPr>
          <w:rFonts w:ascii="Verdana" w:hAnsi="Verdana"/>
          <w:sz w:val="20"/>
          <w:szCs w:val="20"/>
        </w:rPr>
      </w:pPr>
    </w:p>
    <w:p w:rsidR="006B3CF7" w:rsidRPr="00D02B5F" w:rsidRDefault="006B3CF7" w:rsidP="006B3CF7">
      <w:pPr>
        <w:pStyle w:val="Prrafodelista"/>
        <w:ind w:left="1440"/>
        <w:jc w:val="both"/>
        <w:rPr>
          <w:rFonts w:ascii="Verdana" w:hAnsi="Verdana"/>
          <w:sz w:val="20"/>
          <w:szCs w:val="20"/>
        </w:rPr>
      </w:pPr>
    </w:p>
    <w:p w:rsidR="008271A1" w:rsidRPr="00D02B5F" w:rsidRDefault="008271A1" w:rsidP="008271A1">
      <w:pPr>
        <w:pStyle w:val="Prrafodelista"/>
        <w:jc w:val="both"/>
        <w:rPr>
          <w:rFonts w:ascii="Verdana" w:hAnsi="Verdana"/>
          <w:b/>
          <w:sz w:val="20"/>
          <w:szCs w:val="20"/>
        </w:rPr>
      </w:pPr>
      <w:r w:rsidRPr="00D02B5F">
        <w:rPr>
          <w:rFonts w:ascii="Verdana" w:hAnsi="Verdana"/>
          <w:b/>
          <w:sz w:val="20"/>
          <w:szCs w:val="20"/>
        </w:rPr>
        <w:lastRenderedPageBreak/>
        <w:t>Componente 2: Administración Curricular</w:t>
      </w:r>
    </w:p>
    <w:p w:rsidR="008271A1" w:rsidRPr="00D02B5F" w:rsidRDefault="008271A1" w:rsidP="008271A1">
      <w:pPr>
        <w:pStyle w:val="Prrafodelista"/>
        <w:jc w:val="both"/>
        <w:rPr>
          <w:rFonts w:ascii="Verdana" w:hAnsi="Verdana"/>
          <w:sz w:val="20"/>
          <w:szCs w:val="20"/>
        </w:rPr>
      </w:pPr>
    </w:p>
    <w:p w:rsidR="008271A1" w:rsidRPr="00D02B5F" w:rsidRDefault="008271A1" w:rsidP="008271A1">
      <w:pPr>
        <w:pStyle w:val="Prrafodelista"/>
        <w:numPr>
          <w:ilvl w:val="0"/>
          <w:numId w:val="11"/>
        </w:numPr>
        <w:jc w:val="both"/>
        <w:rPr>
          <w:rFonts w:ascii="Verdana" w:hAnsi="Verdana"/>
          <w:sz w:val="20"/>
          <w:szCs w:val="20"/>
        </w:rPr>
      </w:pPr>
      <w:r w:rsidRPr="00D02B5F">
        <w:rPr>
          <w:rFonts w:ascii="Verdana" w:hAnsi="Verdana"/>
          <w:sz w:val="20"/>
          <w:szCs w:val="20"/>
        </w:rPr>
        <w:t xml:space="preserve">Evidencia de la existencia de jornadas de socialización, explicación y retroalimentación del proyecto de nivelación presentado por la SENESCYT, en cada una de las unidades académicas. </w:t>
      </w:r>
    </w:p>
    <w:p w:rsidR="008271A1" w:rsidRPr="00D02B5F" w:rsidRDefault="008271A1" w:rsidP="008271A1">
      <w:pPr>
        <w:pStyle w:val="Prrafodelista"/>
        <w:numPr>
          <w:ilvl w:val="0"/>
          <w:numId w:val="11"/>
        </w:numPr>
        <w:jc w:val="both"/>
        <w:rPr>
          <w:rFonts w:ascii="Verdana" w:hAnsi="Verdana"/>
          <w:sz w:val="20"/>
          <w:szCs w:val="20"/>
        </w:rPr>
      </w:pPr>
      <w:r w:rsidRPr="00D02B5F">
        <w:rPr>
          <w:rFonts w:ascii="Verdana" w:hAnsi="Verdana"/>
          <w:sz w:val="20"/>
          <w:szCs w:val="20"/>
        </w:rPr>
        <w:t>La IES cuenta con un proyecto curricular del curso de nivelación en sus etapas de  meso y micro planificación curricular, en concordancia con el proyecto de nivelación presentado por la SENESCYT.</w:t>
      </w:r>
    </w:p>
    <w:p w:rsidR="008271A1" w:rsidRPr="00D02B5F" w:rsidRDefault="008271A1" w:rsidP="008271A1">
      <w:pPr>
        <w:pStyle w:val="Prrafodelista"/>
        <w:numPr>
          <w:ilvl w:val="0"/>
          <w:numId w:val="11"/>
        </w:numPr>
        <w:jc w:val="both"/>
        <w:rPr>
          <w:rFonts w:ascii="Verdana" w:hAnsi="Verdana"/>
          <w:sz w:val="20"/>
          <w:szCs w:val="20"/>
        </w:rPr>
      </w:pPr>
      <w:r w:rsidRPr="00D02B5F">
        <w:rPr>
          <w:rFonts w:ascii="Verdana" w:hAnsi="Verdana"/>
          <w:sz w:val="20"/>
          <w:szCs w:val="20"/>
        </w:rPr>
        <w:t>La IES ha elaborado un proyecto de aplicación y seguimiento del sistema de evaluación de estudiantes y docentes, que evidencie la operacionalización de las orientaciones contenidas en el proyecto de nivelación.</w:t>
      </w:r>
    </w:p>
    <w:p w:rsidR="008271A1" w:rsidRPr="00D02B5F" w:rsidRDefault="008271A1" w:rsidP="008271A1">
      <w:pPr>
        <w:pStyle w:val="Prrafodelista"/>
        <w:numPr>
          <w:ilvl w:val="0"/>
          <w:numId w:val="11"/>
        </w:numPr>
        <w:jc w:val="both"/>
        <w:rPr>
          <w:rFonts w:ascii="Verdana" w:hAnsi="Verdana"/>
          <w:sz w:val="20"/>
          <w:szCs w:val="20"/>
        </w:rPr>
      </w:pPr>
      <w:r w:rsidRPr="00D02B5F">
        <w:rPr>
          <w:rFonts w:ascii="Verdana" w:hAnsi="Verdana"/>
          <w:sz w:val="20"/>
          <w:szCs w:val="20"/>
        </w:rPr>
        <w:t>La IES cuenta con una planificación curricular que garanti</w:t>
      </w:r>
      <w:r w:rsidR="006B3CF7" w:rsidRPr="00D02B5F">
        <w:rPr>
          <w:rFonts w:ascii="Verdana" w:hAnsi="Verdana"/>
          <w:sz w:val="20"/>
          <w:szCs w:val="20"/>
        </w:rPr>
        <w:t>za</w:t>
      </w:r>
      <w:r w:rsidRPr="00D02B5F">
        <w:rPr>
          <w:rFonts w:ascii="Verdana" w:hAnsi="Verdana"/>
          <w:sz w:val="20"/>
          <w:szCs w:val="20"/>
        </w:rPr>
        <w:t xml:space="preserve"> la consecución del perfil de egreso de los estudiantes, planteado por la SENESCYT en el proyecto del curso de nivelación.</w:t>
      </w:r>
    </w:p>
    <w:p w:rsidR="008271A1" w:rsidRPr="00D02B5F" w:rsidRDefault="008271A1" w:rsidP="008271A1">
      <w:pPr>
        <w:pStyle w:val="Prrafodelista"/>
        <w:numPr>
          <w:ilvl w:val="0"/>
          <w:numId w:val="11"/>
        </w:numPr>
        <w:jc w:val="both"/>
        <w:rPr>
          <w:rFonts w:ascii="Verdana" w:hAnsi="Verdana"/>
          <w:sz w:val="20"/>
          <w:szCs w:val="20"/>
        </w:rPr>
      </w:pPr>
      <w:r w:rsidRPr="00D02B5F">
        <w:rPr>
          <w:rFonts w:ascii="Verdana" w:hAnsi="Verdana"/>
          <w:sz w:val="20"/>
          <w:szCs w:val="20"/>
        </w:rPr>
        <w:t>Todos los micro currículos han incorporado en la planificación educativa el uso y aplicación de las Tics y el desarrollo de ambientes de aprendizaje que diversifiquen los contextos educativos de aprendizaje.</w:t>
      </w:r>
    </w:p>
    <w:p w:rsidR="008271A1" w:rsidRPr="00D02B5F" w:rsidRDefault="008271A1" w:rsidP="008271A1">
      <w:pPr>
        <w:pStyle w:val="Prrafodelista"/>
        <w:numPr>
          <w:ilvl w:val="0"/>
          <w:numId w:val="11"/>
        </w:numPr>
        <w:jc w:val="both"/>
        <w:rPr>
          <w:rFonts w:ascii="Verdana" w:hAnsi="Verdana"/>
          <w:sz w:val="20"/>
          <w:szCs w:val="20"/>
        </w:rPr>
      </w:pPr>
      <w:r w:rsidRPr="00D02B5F">
        <w:rPr>
          <w:rFonts w:ascii="Verdana" w:hAnsi="Verdana"/>
          <w:sz w:val="20"/>
          <w:szCs w:val="20"/>
        </w:rPr>
        <w:t xml:space="preserve">La IES cuenta con un sistema de acompañamiento y asesoría académica estudiantil. </w:t>
      </w:r>
    </w:p>
    <w:p w:rsidR="008271A1" w:rsidRPr="00D02B5F" w:rsidRDefault="008271A1" w:rsidP="008271A1">
      <w:pPr>
        <w:pStyle w:val="Prrafodelista"/>
        <w:numPr>
          <w:ilvl w:val="0"/>
          <w:numId w:val="11"/>
        </w:numPr>
        <w:jc w:val="both"/>
        <w:rPr>
          <w:rFonts w:ascii="Verdana" w:hAnsi="Verdana"/>
          <w:sz w:val="20"/>
          <w:szCs w:val="20"/>
        </w:rPr>
      </w:pPr>
      <w:r w:rsidRPr="00D02B5F">
        <w:rPr>
          <w:rFonts w:ascii="Verdana" w:hAnsi="Verdana"/>
          <w:sz w:val="20"/>
          <w:szCs w:val="20"/>
        </w:rPr>
        <w:t xml:space="preserve">La IES cuenta con un proyecto de seguimiento y evaluación curricular. </w:t>
      </w:r>
    </w:p>
    <w:p w:rsidR="008271A1" w:rsidRPr="00D02B5F" w:rsidRDefault="008271A1" w:rsidP="008271A1">
      <w:pPr>
        <w:pStyle w:val="Prrafodelista"/>
        <w:jc w:val="both"/>
        <w:rPr>
          <w:rFonts w:ascii="Verdana" w:hAnsi="Verdana"/>
          <w:sz w:val="20"/>
          <w:szCs w:val="20"/>
        </w:rPr>
      </w:pPr>
    </w:p>
    <w:p w:rsidR="008271A1" w:rsidRPr="00D02B5F" w:rsidRDefault="008271A1" w:rsidP="008271A1">
      <w:pPr>
        <w:pStyle w:val="Prrafodelista"/>
        <w:rPr>
          <w:rFonts w:ascii="Verdana" w:hAnsi="Verdana"/>
          <w:b/>
          <w:sz w:val="20"/>
          <w:szCs w:val="20"/>
        </w:rPr>
      </w:pPr>
      <w:r w:rsidRPr="00D02B5F">
        <w:rPr>
          <w:rFonts w:ascii="Verdana" w:hAnsi="Verdana"/>
          <w:b/>
          <w:sz w:val="20"/>
          <w:szCs w:val="20"/>
        </w:rPr>
        <w:t>Componente 3: Gestión de los ambientes de aprendizaje</w:t>
      </w:r>
    </w:p>
    <w:p w:rsidR="008271A1" w:rsidRPr="00D02B5F" w:rsidRDefault="008271A1" w:rsidP="008271A1">
      <w:pPr>
        <w:pStyle w:val="Prrafodelista"/>
        <w:rPr>
          <w:rFonts w:ascii="Verdana" w:hAnsi="Verdana"/>
          <w:sz w:val="20"/>
          <w:szCs w:val="20"/>
        </w:rPr>
      </w:pPr>
    </w:p>
    <w:p w:rsidR="008271A1" w:rsidRPr="00D02B5F" w:rsidRDefault="008271A1" w:rsidP="008271A1">
      <w:pPr>
        <w:pStyle w:val="Prrafodelista"/>
        <w:numPr>
          <w:ilvl w:val="0"/>
          <w:numId w:val="12"/>
        </w:numPr>
        <w:jc w:val="both"/>
        <w:rPr>
          <w:rFonts w:ascii="Verdana" w:hAnsi="Verdana"/>
          <w:sz w:val="20"/>
          <w:szCs w:val="20"/>
        </w:rPr>
      </w:pPr>
      <w:r w:rsidRPr="00D02B5F">
        <w:rPr>
          <w:rFonts w:ascii="Verdana" w:hAnsi="Verdana"/>
          <w:sz w:val="20"/>
          <w:szCs w:val="20"/>
        </w:rPr>
        <w:t>La IES cuenta con una infraestructura de docencia que garantiza ambient</w:t>
      </w:r>
      <w:r w:rsidR="006B3CF7" w:rsidRPr="00D02B5F">
        <w:rPr>
          <w:rFonts w:ascii="Verdana" w:hAnsi="Verdana"/>
          <w:sz w:val="20"/>
          <w:szCs w:val="20"/>
        </w:rPr>
        <w:t>es de aprendizaje que posibilita</w:t>
      </w:r>
      <w:r w:rsidRPr="00D02B5F">
        <w:rPr>
          <w:rFonts w:ascii="Verdana" w:hAnsi="Verdana"/>
          <w:sz w:val="20"/>
          <w:szCs w:val="20"/>
        </w:rPr>
        <w:t>n el desarrollo de las actividades de aprendizaje planteadas en el proyecto curricular de la unidad académica y en el del curso de nivelación de la SENESCYT.</w:t>
      </w:r>
    </w:p>
    <w:p w:rsidR="008271A1" w:rsidRPr="00D02B5F" w:rsidRDefault="008271A1" w:rsidP="008271A1">
      <w:pPr>
        <w:pStyle w:val="Prrafodelista"/>
        <w:numPr>
          <w:ilvl w:val="0"/>
          <w:numId w:val="12"/>
        </w:numPr>
        <w:jc w:val="both"/>
        <w:rPr>
          <w:rFonts w:ascii="Verdana" w:hAnsi="Verdana"/>
          <w:sz w:val="20"/>
          <w:szCs w:val="20"/>
        </w:rPr>
      </w:pPr>
      <w:r w:rsidRPr="00D02B5F">
        <w:rPr>
          <w:rFonts w:ascii="Verdana" w:hAnsi="Verdana"/>
          <w:sz w:val="20"/>
          <w:szCs w:val="20"/>
        </w:rPr>
        <w:t xml:space="preserve">Existencia de ambientes de aprendizaje para la lectura, trabajos grupales, talleres, laboratorios, plenarias, conferencias, actividades virtuales, entre otras, que den cobertura a todos los estudiantes y que presenten estados adecuados en mantenimiento y actualización tecnológica. </w:t>
      </w:r>
    </w:p>
    <w:p w:rsidR="008271A1" w:rsidRPr="00D02B5F" w:rsidRDefault="008271A1" w:rsidP="008271A1">
      <w:pPr>
        <w:pStyle w:val="Prrafodelista"/>
        <w:jc w:val="both"/>
        <w:rPr>
          <w:rFonts w:ascii="Verdana" w:hAnsi="Verdana"/>
          <w:sz w:val="20"/>
          <w:szCs w:val="20"/>
        </w:rPr>
      </w:pPr>
    </w:p>
    <w:p w:rsidR="00572164" w:rsidRPr="00D02B5F" w:rsidRDefault="008271A1" w:rsidP="008271A1">
      <w:pPr>
        <w:pStyle w:val="Prrafodelista"/>
        <w:numPr>
          <w:ilvl w:val="0"/>
          <w:numId w:val="10"/>
        </w:numPr>
        <w:jc w:val="both"/>
        <w:rPr>
          <w:rFonts w:ascii="Verdana" w:hAnsi="Verdana"/>
          <w:b/>
          <w:sz w:val="20"/>
          <w:szCs w:val="20"/>
        </w:rPr>
      </w:pPr>
      <w:r w:rsidRPr="00D02B5F">
        <w:rPr>
          <w:rFonts w:ascii="Verdana" w:hAnsi="Verdana"/>
          <w:b/>
          <w:sz w:val="20"/>
          <w:szCs w:val="20"/>
        </w:rPr>
        <w:t xml:space="preserve">Tabla de Valores para la determinación de </w:t>
      </w:r>
      <w:r w:rsidR="00FA11B4" w:rsidRPr="00D02B5F">
        <w:rPr>
          <w:rFonts w:ascii="Verdana" w:hAnsi="Verdana"/>
          <w:b/>
          <w:sz w:val="20"/>
          <w:szCs w:val="20"/>
        </w:rPr>
        <w:t>la inversión por estudiante para el curso piloto de nivelación</w:t>
      </w:r>
    </w:p>
    <w:p w:rsidR="00FA11B4" w:rsidRPr="00D02B5F" w:rsidRDefault="00FA11B4" w:rsidP="00FA11B4">
      <w:pPr>
        <w:ind w:left="360"/>
        <w:jc w:val="both"/>
        <w:rPr>
          <w:rFonts w:ascii="Verdana" w:hAnsi="Verdana"/>
          <w:sz w:val="20"/>
          <w:szCs w:val="20"/>
        </w:rPr>
      </w:pPr>
      <w:r w:rsidRPr="00D02B5F">
        <w:rPr>
          <w:rFonts w:ascii="Verdana" w:hAnsi="Verdana"/>
          <w:sz w:val="20"/>
          <w:szCs w:val="20"/>
        </w:rPr>
        <w:t>La inversión por estudiante que la SENESCYT entregará a las Instituciones de Educación Superior</w:t>
      </w:r>
      <w:r w:rsidR="009A7EE5" w:rsidRPr="00D02B5F">
        <w:rPr>
          <w:rFonts w:ascii="Verdana" w:hAnsi="Verdana"/>
          <w:sz w:val="20"/>
          <w:szCs w:val="20"/>
        </w:rPr>
        <w:t xml:space="preserve">, </w:t>
      </w:r>
      <w:r w:rsidRPr="00D02B5F">
        <w:rPr>
          <w:rFonts w:ascii="Verdana" w:hAnsi="Verdana"/>
          <w:sz w:val="20"/>
          <w:szCs w:val="20"/>
        </w:rPr>
        <w:t xml:space="preserve"> tiene</w:t>
      </w:r>
      <w:r w:rsidR="009A7EE5" w:rsidRPr="00D02B5F">
        <w:rPr>
          <w:rFonts w:ascii="Verdana" w:hAnsi="Verdana"/>
          <w:sz w:val="20"/>
          <w:szCs w:val="20"/>
        </w:rPr>
        <w:t xml:space="preserve"> las siguientes características:</w:t>
      </w:r>
    </w:p>
    <w:p w:rsidR="008A669F" w:rsidRPr="00D02B5F" w:rsidRDefault="00FA11B4" w:rsidP="00FA11B4">
      <w:pPr>
        <w:pStyle w:val="Prrafodelista"/>
        <w:numPr>
          <w:ilvl w:val="0"/>
          <w:numId w:val="4"/>
        </w:numPr>
        <w:jc w:val="both"/>
        <w:rPr>
          <w:rFonts w:ascii="Verdana" w:hAnsi="Verdana"/>
          <w:sz w:val="20"/>
          <w:szCs w:val="20"/>
        </w:rPr>
      </w:pPr>
      <w:r w:rsidRPr="00D02B5F">
        <w:rPr>
          <w:rFonts w:ascii="Verdana" w:hAnsi="Verdana"/>
          <w:sz w:val="20"/>
          <w:szCs w:val="20"/>
        </w:rPr>
        <w:t>La inversión se realiza</w:t>
      </w:r>
      <w:r w:rsidR="009A7EE5" w:rsidRPr="00D02B5F">
        <w:rPr>
          <w:rFonts w:ascii="Verdana" w:hAnsi="Verdana"/>
          <w:sz w:val="20"/>
          <w:szCs w:val="20"/>
        </w:rPr>
        <w:t>rá</w:t>
      </w:r>
      <w:r w:rsidRPr="00D02B5F">
        <w:rPr>
          <w:rFonts w:ascii="Verdana" w:hAnsi="Verdana"/>
          <w:sz w:val="20"/>
          <w:szCs w:val="20"/>
        </w:rPr>
        <w:t xml:space="preserve"> por</w:t>
      </w:r>
      <w:r w:rsidR="008A669F" w:rsidRPr="00D02B5F">
        <w:rPr>
          <w:rFonts w:ascii="Verdana" w:hAnsi="Verdana"/>
          <w:sz w:val="20"/>
          <w:szCs w:val="20"/>
        </w:rPr>
        <w:t xml:space="preserve"> cada </w:t>
      </w:r>
      <w:r w:rsidR="009A7EE5" w:rsidRPr="00D02B5F">
        <w:rPr>
          <w:rFonts w:ascii="Verdana" w:hAnsi="Verdana"/>
          <w:sz w:val="20"/>
          <w:szCs w:val="20"/>
        </w:rPr>
        <w:t>aspirante</w:t>
      </w:r>
      <w:r w:rsidR="008A669F" w:rsidRPr="00D02B5F">
        <w:rPr>
          <w:rFonts w:ascii="Verdana" w:hAnsi="Verdana"/>
          <w:sz w:val="20"/>
          <w:szCs w:val="20"/>
        </w:rPr>
        <w:t xml:space="preserve">, de acuerdo a la lista de cupos asignados </w:t>
      </w:r>
      <w:r w:rsidR="00217948" w:rsidRPr="00D02B5F">
        <w:rPr>
          <w:rFonts w:ascii="Verdana" w:hAnsi="Verdana"/>
          <w:sz w:val="20"/>
          <w:szCs w:val="20"/>
        </w:rPr>
        <w:t>presentada por el SNNA.</w:t>
      </w:r>
    </w:p>
    <w:p w:rsidR="008A669F" w:rsidRPr="00D02B5F" w:rsidRDefault="00217948" w:rsidP="00FA11B4">
      <w:pPr>
        <w:pStyle w:val="Prrafodelista"/>
        <w:numPr>
          <w:ilvl w:val="0"/>
          <w:numId w:val="4"/>
        </w:numPr>
        <w:jc w:val="both"/>
        <w:rPr>
          <w:rFonts w:ascii="Verdana" w:hAnsi="Verdana"/>
          <w:sz w:val="20"/>
          <w:szCs w:val="20"/>
        </w:rPr>
      </w:pPr>
      <w:r w:rsidRPr="00D02B5F">
        <w:rPr>
          <w:rFonts w:ascii="Verdana" w:hAnsi="Verdana"/>
          <w:sz w:val="20"/>
          <w:szCs w:val="20"/>
        </w:rPr>
        <w:t xml:space="preserve">El tiempo de cobertura de la inversión es </w:t>
      </w:r>
      <w:r w:rsidR="004A4EF1" w:rsidRPr="00D02B5F">
        <w:rPr>
          <w:rFonts w:ascii="Verdana" w:hAnsi="Verdana"/>
          <w:sz w:val="20"/>
          <w:szCs w:val="20"/>
        </w:rPr>
        <w:t>de</w:t>
      </w:r>
      <w:r w:rsidR="00FA11B4" w:rsidRPr="00D02B5F">
        <w:rPr>
          <w:rFonts w:ascii="Verdana" w:hAnsi="Verdana"/>
          <w:sz w:val="20"/>
          <w:szCs w:val="20"/>
        </w:rPr>
        <w:t xml:space="preserve"> 19 o 20 semanas</w:t>
      </w:r>
      <w:r w:rsidR="004A4EF1" w:rsidRPr="00D02B5F">
        <w:rPr>
          <w:rFonts w:ascii="Verdana" w:hAnsi="Verdana"/>
          <w:sz w:val="20"/>
          <w:szCs w:val="20"/>
        </w:rPr>
        <w:t>, dependiendo del tipo de programa de nivelación.</w:t>
      </w:r>
    </w:p>
    <w:p w:rsidR="009A7EE5" w:rsidRPr="00D02B5F" w:rsidRDefault="009A7EE5" w:rsidP="00FA11B4">
      <w:pPr>
        <w:pStyle w:val="Prrafodelista"/>
        <w:numPr>
          <w:ilvl w:val="0"/>
          <w:numId w:val="4"/>
        </w:numPr>
        <w:jc w:val="both"/>
        <w:rPr>
          <w:rFonts w:ascii="Verdana" w:hAnsi="Verdana"/>
          <w:sz w:val="20"/>
          <w:szCs w:val="20"/>
        </w:rPr>
      </w:pPr>
      <w:r w:rsidRPr="00D02B5F">
        <w:rPr>
          <w:rFonts w:ascii="Verdana" w:hAnsi="Verdana"/>
          <w:sz w:val="20"/>
          <w:szCs w:val="20"/>
        </w:rPr>
        <w:t xml:space="preserve">La inversión por estudiante está relacionada con la categoría </w:t>
      </w:r>
      <w:r w:rsidR="00E22DAF" w:rsidRPr="00D02B5F">
        <w:rPr>
          <w:rFonts w:ascii="Verdana" w:hAnsi="Verdana"/>
          <w:sz w:val="20"/>
          <w:szCs w:val="20"/>
        </w:rPr>
        <w:t>a la que pertenece la IES</w:t>
      </w:r>
      <w:r w:rsidRPr="00D02B5F">
        <w:rPr>
          <w:rFonts w:ascii="Verdana" w:hAnsi="Verdana"/>
          <w:sz w:val="20"/>
          <w:szCs w:val="20"/>
        </w:rPr>
        <w:t>, producto de la evaluación del Mandato 14.</w:t>
      </w:r>
    </w:p>
    <w:p w:rsidR="00E22DAF" w:rsidRPr="00D02B5F" w:rsidRDefault="009A7EE5" w:rsidP="00FA11B4">
      <w:pPr>
        <w:pStyle w:val="Prrafodelista"/>
        <w:numPr>
          <w:ilvl w:val="0"/>
          <w:numId w:val="4"/>
        </w:numPr>
        <w:jc w:val="both"/>
        <w:rPr>
          <w:rFonts w:ascii="Verdana" w:hAnsi="Verdana"/>
          <w:sz w:val="20"/>
          <w:szCs w:val="20"/>
        </w:rPr>
      </w:pPr>
      <w:r w:rsidRPr="00D02B5F">
        <w:rPr>
          <w:rFonts w:ascii="Verdana" w:hAnsi="Verdana"/>
          <w:sz w:val="20"/>
          <w:szCs w:val="20"/>
        </w:rPr>
        <w:lastRenderedPageBreak/>
        <w:t>Para determinar el valor de la inversión por aspirante,  se tomará en cuenta además</w:t>
      </w:r>
      <w:r w:rsidR="00004B76">
        <w:rPr>
          <w:rFonts w:ascii="Verdana" w:hAnsi="Verdana"/>
          <w:sz w:val="20"/>
          <w:szCs w:val="20"/>
        </w:rPr>
        <w:t>,</w:t>
      </w:r>
      <w:r w:rsidRPr="00D02B5F">
        <w:rPr>
          <w:rFonts w:ascii="Verdana" w:hAnsi="Verdana"/>
          <w:sz w:val="20"/>
          <w:szCs w:val="20"/>
        </w:rPr>
        <w:t xml:space="preserve"> la supervisión inicial que la SENESCYT realizará a cada Institución</w:t>
      </w:r>
      <w:r w:rsidR="00E22DAF" w:rsidRPr="00D02B5F">
        <w:rPr>
          <w:rFonts w:ascii="Verdana" w:hAnsi="Verdana"/>
          <w:sz w:val="20"/>
          <w:szCs w:val="20"/>
        </w:rPr>
        <w:t>, en función de los 3 componentes anteriormente descritos</w:t>
      </w:r>
      <w:r w:rsidRPr="00D02B5F">
        <w:rPr>
          <w:rFonts w:ascii="Verdana" w:hAnsi="Verdana"/>
          <w:sz w:val="20"/>
          <w:szCs w:val="20"/>
        </w:rPr>
        <w:t>.</w:t>
      </w:r>
    </w:p>
    <w:p w:rsidR="00E22DAF" w:rsidRPr="00D02B5F" w:rsidRDefault="00E22DAF" w:rsidP="00FA11B4">
      <w:pPr>
        <w:pStyle w:val="Prrafodelista"/>
        <w:numPr>
          <w:ilvl w:val="0"/>
          <w:numId w:val="4"/>
        </w:numPr>
        <w:jc w:val="both"/>
        <w:rPr>
          <w:rFonts w:ascii="Verdana" w:hAnsi="Verdana"/>
          <w:sz w:val="20"/>
          <w:szCs w:val="20"/>
        </w:rPr>
      </w:pPr>
      <w:r w:rsidRPr="00D02B5F">
        <w:rPr>
          <w:rFonts w:ascii="Verdana" w:hAnsi="Verdana"/>
          <w:sz w:val="20"/>
          <w:szCs w:val="20"/>
        </w:rPr>
        <w:t>Por sus características especiales, la inversión por aspirante de la nivelación GAR será diferente.</w:t>
      </w:r>
    </w:p>
    <w:p w:rsidR="00E22DAF" w:rsidRPr="00D02B5F" w:rsidRDefault="00E22DAF" w:rsidP="00E22DAF">
      <w:pPr>
        <w:ind w:left="360"/>
        <w:jc w:val="both"/>
        <w:rPr>
          <w:rFonts w:ascii="Verdana" w:hAnsi="Verdana"/>
          <w:sz w:val="20"/>
          <w:szCs w:val="20"/>
        </w:rPr>
      </w:pPr>
      <w:r w:rsidRPr="00D02B5F">
        <w:rPr>
          <w:rFonts w:ascii="Verdana" w:hAnsi="Verdana"/>
          <w:sz w:val="20"/>
          <w:szCs w:val="20"/>
        </w:rPr>
        <w:t>Las matrices de supervisión educativa serán ponderadas de la siguiente manera:</w:t>
      </w:r>
    </w:p>
    <w:p w:rsidR="00E22DAF" w:rsidRPr="00D02B5F" w:rsidRDefault="00D040A8" w:rsidP="00E22DAF">
      <w:pPr>
        <w:pStyle w:val="Prrafodelista"/>
        <w:numPr>
          <w:ilvl w:val="0"/>
          <w:numId w:val="13"/>
        </w:numPr>
        <w:jc w:val="both"/>
        <w:rPr>
          <w:rFonts w:ascii="Verdana" w:hAnsi="Verdana"/>
          <w:sz w:val="20"/>
          <w:szCs w:val="20"/>
        </w:rPr>
      </w:pPr>
      <w:r>
        <w:rPr>
          <w:rFonts w:ascii="Verdana" w:hAnsi="Verdana"/>
          <w:sz w:val="20"/>
          <w:szCs w:val="20"/>
        </w:rPr>
        <w:t>Administración Educativa: 20</w:t>
      </w:r>
      <w:r w:rsidR="00E22DAF" w:rsidRPr="00D02B5F">
        <w:rPr>
          <w:rFonts w:ascii="Verdana" w:hAnsi="Verdana"/>
          <w:sz w:val="20"/>
          <w:szCs w:val="20"/>
        </w:rPr>
        <w:t>,</w:t>
      </w:r>
      <w:r>
        <w:rPr>
          <w:rFonts w:ascii="Verdana" w:hAnsi="Verdana"/>
          <w:sz w:val="20"/>
          <w:szCs w:val="20"/>
        </w:rPr>
        <w:t>0 %</w:t>
      </w:r>
    </w:p>
    <w:p w:rsidR="00E22DAF" w:rsidRPr="00D02B5F" w:rsidRDefault="00D040A8" w:rsidP="00E22DAF">
      <w:pPr>
        <w:pStyle w:val="Prrafodelista"/>
        <w:numPr>
          <w:ilvl w:val="0"/>
          <w:numId w:val="13"/>
        </w:numPr>
        <w:jc w:val="both"/>
        <w:rPr>
          <w:rFonts w:ascii="Verdana" w:hAnsi="Verdana"/>
          <w:sz w:val="20"/>
          <w:szCs w:val="20"/>
        </w:rPr>
      </w:pPr>
      <w:r>
        <w:rPr>
          <w:rFonts w:ascii="Verdana" w:hAnsi="Verdana"/>
          <w:sz w:val="20"/>
          <w:szCs w:val="20"/>
        </w:rPr>
        <w:t>Administración Curricular: 40,0 %</w:t>
      </w:r>
    </w:p>
    <w:p w:rsidR="00E22DAF" w:rsidRPr="00D02B5F" w:rsidRDefault="00D040A8" w:rsidP="00E22DAF">
      <w:pPr>
        <w:pStyle w:val="Prrafodelista"/>
        <w:numPr>
          <w:ilvl w:val="0"/>
          <w:numId w:val="13"/>
        </w:numPr>
        <w:jc w:val="both"/>
        <w:rPr>
          <w:rFonts w:ascii="Verdana" w:hAnsi="Verdana"/>
          <w:sz w:val="20"/>
          <w:szCs w:val="20"/>
        </w:rPr>
      </w:pPr>
      <w:r>
        <w:rPr>
          <w:rFonts w:ascii="Verdana" w:hAnsi="Verdana"/>
          <w:sz w:val="20"/>
          <w:szCs w:val="20"/>
        </w:rPr>
        <w:t>Ambientes de Aprendizaje:40,0 %</w:t>
      </w:r>
    </w:p>
    <w:p w:rsidR="00E22DAF" w:rsidRDefault="00E22DAF" w:rsidP="00E22DAF">
      <w:pPr>
        <w:ind w:left="360"/>
        <w:jc w:val="both"/>
        <w:rPr>
          <w:rFonts w:ascii="Verdana" w:hAnsi="Verdana"/>
          <w:sz w:val="20"/>
          <w:szCs w:val="20"/>
        </w:rPr>
      </w:pPr>
      <w:r w:rsidRPr="00D02B5F">
        <w:rPr>
          <w:rFonts w:ascii="Verdana" w:hAnsi="Verdana"/>
          <w:sz w:val="20"/>
          <w:szCs w:val="20"/>
        </w:rPr>
        <w:t xml:space="preserve">A continuación se describen las tablas de valores de la nivelación: </w:t>
      </w:r>
    </w:p>
    <w:p w:rsidR="00DE5760" w:rsidRDefault="00DE5760" w:rsidP="00E22DAF">
      <w:pPr>
        <w:ind w:left="360"/>
        <w:jc w:val="both"/>
        <w:rPr>
          <w:rFonts w:ascii="Verdana" w:hAnsi="Verdana"/>
          <w:b/>
          <w:sz w:val="20"/>
          <w:szCs w:val="20"/>
        </w:rPr>
      </w:pPr>
      <w:r w:rsidRPr="00DE5760">
        <w:rPr>
          <w:rFonts w:ascii="Verdana" w:hAnsi="Verdana"/>
          <w:b/>
          <w:sz w:val="20"/>
          <w:szCs w:val="20"/>
        </w:rPr>
        <w:t>NIVELACIÓN GAR</w:t>
      </w:r>
    </w:p>
    <w:tbl>
      <w:tblPr>
        <w:tblW w:w="4600" w:type="dxa"/>
        <w:tblInd w:w="55" w:type="dxa"/>
        <w:tblCellMar>
          <w:left w:w="70" w:type="dxa"/>
          <w:right w:w="70" w:type="dxa"/>
        </w:tblCellMar>
        <w:tblLook w:val="04A0"/>
      </w:tblPr>
      <w:tblGrid>
        <w:gridCol w:w="1300"/>
        <w:gridCol w:w="1600"/>
        <w:gridCol w:w="1700"/>
      </w:tblGrid>
      <w:tr w:rsidR="006231DA" w:rsidRPr="006231DA" w:rsidTr="006231DA">
        <w:trPr>
          <w:trHeight w:val="300"/>
        </w:trPr>
        <w:tc>
          <w:tcPr>
            <w:tcW w:w="1300" w:type="dxa"/>
            <w:tcBorders>
              <w:top w:val="single" w:sz="8" w:space="0" w:color="auto"/>
              <w:left w:val="single" w:sz="8" w:space="0" w:color="auto"/>
              <w:bottom w:val="nil"/>
              <w:right w:val="single" w:sz="8" w:space="0" w:color="auto"/>
            </w:tcBorders>
            <w:shd w:val="clear" w:color="000000" w:fill="F2F2F2"/>
            <w:noWrap/>
            <w:vAlign w:val="bottom"/>
            <w:hideMark/>
          </w:tcPr>
          <w:p w:rsidR="006231DA" w:rsidRPr="006231DA" w:rsidRDefault="006231DA" w:rsidP="006231DA">
            <w:pPr>
              <w:spacing w:after="0" w:line="240" w:lineRule="auto"/>
              <w:jc w:val="center"/>
              <w:rPr>
                <w:rFonts w:ascii="Calibri" w:eastAsia="Times New Roman" w:hAnsi="Calibri" w:cs="Calibri"/>
                <w:b/>
                <w:bCs/>
                <w:color w:val="000000"/>
              </w:rPr>
            </w:pPr>
            <w:r w:rsidRPr="006231DA">
              <w:rPr>
                <w:rFonts w:ascii="Calibri" w:eastAsia="Times New Roman" w:hAnsi="Calibri" w:cs="Calibri"/>
                <w:b/>
                <w:bCs/>
                <w:color w:val="000000"/>
              </w:rPr>
              <w:t>Categoría</w:t>
            </w:r>
          </w:p>
        </w:tc>
        <w:tc>
          <w:tcPr>
            <w:tcW w:w="1600" w:type="dxa"/>
            <w:tcBorders>
              <w:top w:val="single" w:sz="8" w:space="0" w:color="auto"/>
              <w:left w:val="nil"/>
              <w:bottom w:val="nil"/>
              <w:right w:val="single" w:sz="8" w:space="0" w:color="auto"/>
            </w:tcBorders>
            <w:shd w:val="clear" w:color="000000" w:fill="F2F2F2"/>
            <w:noWrap/>
            <w:vAlign w:val="bottom"/>
            <w:hideMark/>
          </w:tcPr>
          <w:p w:rsidR="006231DA" w:rsidRPr="006231DA" w:rsidRDefault="006231DA" w:rsidP="006231DA">
            <w:pPr>
              <w:spacing w:after="0" w:line="240" w:lineRule="auto"/>
              <w:jc w:val="center"/>
              <w:rPr>
                <w:rFonts w:ascii="Calibri" w:eastAsia="Times New Roman" w:hAnsi="Calibri" w:cs="Calibri"/>
                <w:b/>
                <w:bCs/>
                <w:color w:val="000000"/>
              </w:rPr>
            </w:pPr>
            <w:r w:rsidRPr="006231DA">
              <w:rPr>
                <w:rFonts w:ascii="Calibri" w:eastAsia="Times New Roman" w:hAnsi="Calibri" w:cs="Calibri"/>
                <w:b/>
                <w:bCs/>
                <w:color w:val="000000"/>
              </w:rPr>
              <w:t>Puntaje de</w:t>
            </w:r>
          </w:p>
        </w:tc>
        <w:tc>
          <w:tcPr>
            <w:tcW w:w="1700" w:type="dxa"/>
            <w:tcBorders>
              <w:top w:val="single" w:sz="8" w:space="0" w:color="auto"/>
              <w:left w:val="nil"/>
              <w:bottom w:val="nil"/>
              <w:right w:val="single" w:sz="8" w:space="0" w:color="auto"/>
            </w:tcBorders>
            <w:shd w:val="clear" w:color="000000" w:fill="F2F2F2"/>
            <w:noWrap/>
            <w:vAlign w:val="bottom"/>
            <w:hideMark/>
          </w:tcPr>
          <w:p w:rsidR="006231DA" w:rsidRPr="006231DA" w:rsidRDefault="006231DA" w:rsidP="006231DA">
            <w:pPr>
              <w:spacing w:after="0" w:line="240" w:lineRule="auto"/>
              <w:jc w:val="center"/>
              <w:rPr>
                <w:rFonts w:ascii="Calibri" w:eastAsia="Times New Roman" w:hAnsi="Calibri" w:cs="Calibri"/>
                <w:b/>
                <w:bCs/>
                <w:color w:val="000000"/>
              </w:rPr>
            </w:pPr>
            <w:r w:rsidRPr="006231DA">
              <w:rPr>
                <w:rFonts w:ascii="Calibri" w:eastAsia="Times New Roman" w:hAnsi="Calibri" w:cs="Calibri"/>
                <w:b/>
                <w:bCs/>
                <w:color w:val="000000"/>
              </w:rPr>
              <w:t xml:space="preserve">Inversión por </w:t>
            </w:r>
          </w:p>
        </w:tc>
      </w:tr>
      <w:tr w:rsidR="006231DA" w:rsidRPr="006231DA" w:rsidTr="006231DA">
        <w:trPr>
          <w:trHeight w:val="315"/>
        </w:trPr>
        <w:tc>
          <w:tcPr>
            <w:tcW w:w="1300" w:type="dxa"/>
            <w:tcBorders>
              <w:top w:val="nil"/>
              <w:left w:val="single" w:sz="8" w:space="0" w:color="auto"/>
              <w:bottom w:val="single" w:sz="8" w:space="0" w:color="auto"/>
              <w:right w:val="single" w:sz="8" w:space="0" w:color="auto"/>
            </w:tcBorders>
            <w:shd w:val="clear" w:color="000000" w:fill="F2F2F2"/>
            <w:noWrap/>
            <w:vAlign w:val="bottom"/>
            <w:hideMark/>
          </w:tcPr>
          <w:p w:rsidR="006231DA" w:rsidRPr="006231DA" w:rsidRDefault="006231DA" w:rsidP="006231DA">
            <w:pPr>
              <w:spacing w:after="0" w:line="240" w:lineRule="auto"/>
              <w:jc w:val="center"/>
              <w:rPr>
                <w:rFonts w:ascii="Calibri" w:eastAsia="Times New Roman" w:hAnsi="Calibri" w:cs="Calibri"/>
                <w:b/>
                <w:bCs/>
                <w:color w:val="000000"/>
              </w:rPr>
            </w:pPr>
            <w:r w:rsidRPr="006231DA">
              <w:rPr>
                <w:rFonts w:ascii="Calibri" w:eastAsia="Times New Roman" w:hAnsi="Calibri" w:cs="Calibri"/>
                <w:b/>
                <w:bCs/>
                <w:color w:val="000000"/>
              </w:rPr>
              <w:t>IES</w:t>
            </w:r>
          </w:p>
        </w:tc>
        <w:tc>
          <w:tcPr>
            <w:tcW w:w="1600" w:type="dxa"/>
            <w:tcBorders>
              <w:top w:val="nil"/>
              <w:left w:val="nil"/>
              <w:bottom w:val="single" w:sz="8" w:space="0" w:color="auto"/>
              <w:right w:val="single" w:sz="8" w:space="0" w:color="auto"/>
            </w:tcBorders>
            <w:shd w:val="clear" w:color="000000" w:fill="F2F2F2"/>
            <w:noWrap/>
            <w:vAlign w:val="bottom"/>
            <w:hideMark/>
          </w:tcPr>
          <w:p w:rsidR="006231DA" w:rsidRPr="006231DA" w:rsidRDefault="006231DA" w:rsidP="006231DA">
            <w:pPr>
              <w:spacing w:after="0" w:line="240" w:lineRule="auto"/>
              <w:jc w:val="center"/>
              <w:rPr>
                <w:rFonts w:ascii="Calibri" w:eastAsia="Times New Roman" w:hAnsi="Calibri" w:cs="Calibri"/>
                <w:b/>
                <w:bCs/>
                <w:color w:val="000000"/>
              </w:rPr>
            </w:pPr>
            <w:r w:rsidRPr="006231DA">
              <w:rPr>
                <w:rFonts w:ascii="Calibri" w:eastAsia="Times New Roman" w:hAnsi="Calibri" w:cs="Calibri"/>
                <w:b/>
                <w:bCs/>
                <w:color w:val="000000"/>
              </w:rPr>
              <w:t>Supervisión (%)</w:t>
            </w:r>
          </w:p>
        </w:tc>
        <w:tc>
          <w:tcPr>
            <w:tcW w:w="1700" w:type="dxa"/>
            <w:tcBorders>
              <w:top w:val="nil"/>
              <w:left w:val="nil"/>
              <w:bottom w:val="single" w:sz="8" w:space="0" w:color="auto"/>
              <w:right w:val="single" w:sz="8" w:space="0" w:color="auto"/>
            </w:tcBorders>
            <w:shd w:val="clear" w:color="000000" w:fill="F2F2F2"/>
            <w:noWrap/>
            <w:vAlign w:val="bottom"/>
            <w:hideMark/>
          </w:tcPr>
          <w:p w:rsidR="006231DA" w:rsidRPr="006231DA" w:rsidRDefault="006231DA" w:rsidP="006231DA">
            <w:pPr>
              <w:spacing w:after="0" w:line="240" w:lineRule="auto"/>
              <w:jc w:val="center"/>
              <w:rPr>
                <w:rFonts w:ascii="Calibri" w:eastAsia="Times New Roman" w:hAnsi="Calibri" w:cs="Calibri"/>
                <w:b/>
                <w:bCs/>
                <w:color w:val="000000"/>
              </w:rPr>
            </w:pPr>
            <w:r w:rsidRPr="006231DA">
              <w:rPr>
                <w:rFonts w:ascii="Calibri" w:eastAsia="Times New Roman" w:hAnsi="Calibri" w:cs="Calibri"/>
                <w:b/>
                <w:bCs/>
                <w:color w:val="000000"/>
              </w:rPr>
              <w:t>Estudiante (USD)</w:t>
            </w:r>
          </w:p>
        </w:tc>
      </w:tr>
      <w:tr w:rsidR="006231DA" w:rsidRPr="006231DA" w:rsidTr="006231DA">
        <w:trPr>
          <w:trHeight w:val="300"/>
        </w:trPr>
        <w:tc>
          <w:tcPr>
            <w:tcW w:w="1300" w:type="dxa"/>
            <w:vMerge w:val="restart"/>
            <w:tcBorders>
              <w:top w:val="nil"/>
              <w:left w:val="single" w:sz="8" w:space="0" w:color="auto"/>
              <w:bottom w:val="single" w:sz="8" w:space="0" w:color="000000"/>
              <w:right w:val="single" w:sz="4" w:space="0" w:color="auto"/>
            </w:tcBorders>
            <w:shd w:val="clear" w:color="000000" w:fill="DBE5F1"/>
            <w:vAlign w:val="center"/>
            <w:hideMark/>
          </w:tcPr>
          <w:p w:rsidR="006231DA" w:rsidRPr="006231DA" w:rsidRDefault="006231DA" w:rsidP="006231DA">
            <w:pPr>
              <w:spacing w:after="0" w:line="240" w:lineRule="auto"/>
              <w:jc w:val="center"/>
              <w:rPr>
                <w:rFonts w:ascii="Calibri" w:eastAsia="Times New Roman" w:hAnsi="Calibri" w:cs="Calibri"/>
                <w:color w:val="000000"/>
              </w:rPr>
            </w:pPr>
            <w:r w:rsidRPr="006231DA">
              <w:rPr>
                <w:rFonts w:ascii="Calibri" w:eastAsia="Times New Roman" w:hAnsi="Calibri" w:cs="Calibri"/>
                <w:color w:val="000000"/>
              </w:rPr>
              <w:t>A</w:t>
            </w:r>
          </w:p>
        </w:tc>
        <w:tc>
          <w:tcPr>
            <w:tcW w:w="1600" w:type="dxa"/>
            <w:tcBorders>
              <w:top w:val="nil"/>
              <w:left w:val="nil"/>
              <w:bottom w:val="single" w:sz="4" w:space="0" w:color="auto"/>
              <w:right w:val="single" w:sz="4" w:space="0" w:color="auto"/>
            </w:tcBorders>
            <w:shd w:val="clear" w:color="000000" w:fill="DBE5F1"/>
            <w:noWrap/>
            <w:vAlign w:val="bottom"/>
            <w:hideMark/>
          </w:tcPr>
          <w:p w:rsidR="006231DA" w:rsidRPr="006231DA" w:rsidRDefault="006231DA" w:rsidP="006231DA">
            <w:pPr>
              <w:spacing w:after="0" w:line="240" w:lineRule="auto"/>
              <w:jc w:val="center"/>
              <w:rPr>
                <w:rFonts w:ascii="Calibri" w:eastAsia="Times New Roman" w:hAnsi="Calibri" w:cs="Calibri"/>
                <w:color w:val="000000"/>
              </w:rPr>
            </w:pPr>
            <w:r w:rsidRPr="006231DA">
              <w:rPr>
                <w:rFonts w:ascii="Calibri" w:eastAsia="Times New Roman" w:hAnsi="Calibri" w:cs="Calibri"/>
                <w:color w:val="000000"/>
              </w:rPr>
              <w:t>90</w:t>
            </w:r>
          </w:p>
        </w:tc>
        <w:tc>
          <w:tcPr>
            <w:tcW w:w="1700" w:type="dxa"/>
            <w:tcBorders>
              <w:top w:val="nil"/>
              <w:left w:val="nil"/>
              <w:bottom w:val="single" w:sz="4" w:space="0" w:color="auto"/>
              <w:right w:val="single" w:sz="8" w:space="0" w:color="auto"/>
            </w:tcBorders>
            <w:shd w:val="clear" w:color="000000" w:fill="DBE5F1"/>
            <w:noWrap/>
            <w:vAlign w:val="bottom"/>
            <w:hideMark/>
          </w:tcPr>
          <w:p w:rsidR="006231DA" w:rsidRPr="006231DA" w:rsidRDefault="006231DA" w:rsidP="006231DA">
            <w:pPr>
              <w:spacing w:after="0" w:line="240" w:lineRule="auto"/>
              <w:jc w:val="center"/>
              <w:rPr>
                <w:rFonts w:ascii="Calibri" w:eastAsia="Times New Roman" w:hAnsi="Calibri" w:cs="Calibri"/>
                <w:color w:val="000000"/>
              </w:rPr>
            </w:pPr>
            <w:r w:rsidRPr="006231DA">
              <w:rPr>
                <w:rFonts w:ascii="Calibri" w:eastAsia="Times New Roman" w:hAnsi="Calibri" w:cs="Calibri"/>
                <w:color w:val="000000"/>
              </w:rPr>
              <w:t>1000 - 1200</w:t>
            </w:r>
          </w:p>
        </w:tc>
      </w:tr>
      <w:tr w:rsidR="006231DA" w:rsidRPr="006231DA" w:rsidTr="006231DA">
        <w:trPr>
          <w:trHeight w:val="315"/>
        </w:trPr>
        <w:tc>
          <w:tcPr>
            <w:tcW w:w="1300" w:type="dxa"/>
            <w:vMerge/>
            <w:tcBorders>
              <w:top w:val="nil"/>
              <w:left w:val="single" w:sz="8" w:space="0" w:color="auto"/>
              <w:bottom w:val="single" w:sz="8" w:space="0" w:color="000000"/>
              <w:right w:val="single" w:sz="4" w:space="0" w:color="auto"/>
            </w:tcBorders>
            <w:vAlign w:val="center"/>
            <w:hideMark/>
          </w:tcPr>
          <w:p w:rsidR="006231DA" w:rsidRPr="006231DA" w:rsidRDefault="006231DA" w:rsidP="006231DA">
            <w:pPr>
              <w:spacing w:after="0" w:line="240" w:lineRule="auto"/>
              <w:rPr>
                <w:rFonts w:ascii="Calibri" w:eastAsia="Times New Roman" w:hAnsi="Calibri" w:cs="Calibri"/>
                <w:color w:val="000000"/>
              </w:rPr>
            </w:pPr>
          </w:p>
        </w:tc>
        <w:tc>
          <w:tcPr>
            <w:tcW w:w="1600" w:type="dxa"/>
            <w:tcBorders>
              <w:top w:val="nil"/>
              <w:left w:val="nil"/>
              <w:bottom w:val="single" w:sz="8" w:space="0" w:color="auto"/>
              <w:right w:val="single" w:sz="4" w:space="0" w:color="auto"/>
            </w:tcBorders>
            <w:shd w:val="clear" w:color="000000" w:fill="DBE5F1"/>
            <w:noWrap/>
            <w:vAlign w:val="bottom"/>
            <w:hideMark/>
          </w:tcPr>
          <w:p w:rsidR="006231DA" w:rsidRPr="006231DA" w:rsidRDefault="006231DA" w:rsidP="006231DA">
            <w:pPr>
              <w:spacing w:after="0" w:line="240" w:lineRule="auto"/>
              <w:jc w:val="center"/>
              <w:rPr>
                <w:rFonts w:ascii="Calibri" w:eastAsia="Times New Roman" w:hAnsi="Calibri" w:cs="Calibri"/>
                <w:color w:val="000000"/>
              </w:rPr>
            </w:pPr>
            <w:r w:rsidRPr="006231DA">
              <w:rPr>
                <w:rFonts w:ascii="Calibri" w:eastAsia="Times New Roman" w:hAnsi="Calibri" w:cs="Calibri"/>
                <w:color w:val="000000"/>
              </w:rPr>
              <w:t>100</w:t>
            </w:r>
          </w:p>
        </w:tc>
        <w:tc>
          <w:tcPr>
            <w:tcW w:w="1700" w:type="dxa"/>
            <w:tcBorders>
              <w:top w:val="nil"/>
              <w:left w:val="nil"/>
              <w:bottom w:val="single" w:sz="8" w:space="0" w:color="auto"/>
              <w:right w:val="single" w:sz="8" w:space="0" w:color="auto"/>
            </w:tcBorders>
            <w:shd w:val="clear" w:color="000000" w:fill="DBE5F1"/>
            <w:noWrap/>
            <w:vAlign w:val="bottom"/>
            <w:hideMark/>
          </w:tcPr>
          <w:p w:rsidR="006231DA" w:rsidRPr="006231DA" w:rsidRDefault="006231DA" w:rsidP="006231DA">
            <w:pPr>
              <w:spacing w:after="0" w:line="240" w:lineRule="auto"/>
              <w:jc w:val="center"/>
              <w:rPr>
                <w:rFonts w:ascii="Calibri" w:eastAsia="Times New Roman" w:hAnsi="Calibri" w:cs="Calibri"/>
                <w:color w:val="000000"/>
              </w:rPr>
            </w:pPr>
            <w:r w:rsidRPr="006231DA">
              <w:rPr>
                <w:rFonts w:ascii="Calibri" w:eastAsia="Times New Roman" w:hAnsi="Calibri" w:cs="Calibri"/>
                <w:color w:val="000000"/>
              </w:rPr>
              <w:t>1201 - 1500</w:t>
            </w:r>
          </w:p>
        </w:tc>
      </w:tr>
    </w:tbl>
    <w:p w:rsidR="00AB3DD8" w:rsidRDefault="00AB3DD8" w:rsidP="00E22DAF">
      <w:pPr>
        <w:ind w:left="360"/>
        <w:jc w:val="both"/>
        <w:rPr>
          <w:rFonts w:ascii="Verdana" w:hAnsi="Verdana"/>
          <w:sz w:val="20"/>
          <w:szCs w:val="20"/>
        </w:rPr>
      </w:pPr>
    </w:p>
    <w:p w:rsidR="00DE5760" w:rsidRPr="006231DA" w:rsidRDefault="00DE5760" w:rsidP="00E22DAF">
      <w:pPr>
        <w:ind w:left="360"/>
        <w:jc w:val="both"/>
        <w:rPr>
          <w:rFonts w:ascii="Verdana" w:hAnsi="Verdana"/>
          <w:sz w:val="20"/>
          <w:szCs w:val="20"/>
        </w:rPr>
      </w:pPr>
      <w:r w:rsidRPr="006231DA">
        <w:rPr>
          <w:rFonts w:ascii="Verdana" w:hAnsi="Verdana"/>
          <w:sz w:val="20"/>
          <w:szCs w:val="20"/>
        </w:rPr>
        <w:t>Si la IES no cumple con el mínimo de 90% en el puntaje de supervisión, está deberá realizar los ajustes necesarios para que en la supervisión intermedia pueda satisfacer los están</w:t>
      </w:r>
      <w:r w:rsidR="00C847A1" w:rsidRPr="006231DA">
        <w:rPr>
          <w:rFonts w:ascii="Verdana" w:hAnsi="Verdana"/>
          <w:sz w:val="20"/>
          <w:szCs w:val="20"/>
        </w:rPr>
        <w:t xml:space="preserve">dares exigidos. </w:t>
      </w:r>
    </w:p>
    <w:p w:rsidR="00DE5760" w:rsidRDefault="00DE5760" w:rsidP="006A0D61">
      <w:pPr>
        <w:jc w:val="center"/>
        <w:rPr>
          <w:rFonts w:ascii="Verdana" w:hAnsi="Verdana"/>
          <w:sz w:val="20"/>
          <w:szCs w:val="20"/>
        </w:rPr>
      </w:pPr>
    </w:p>
    <w:p w:rsidR="005C415B" w:rsidRDefault="005C415B" w:rsidP="006A0D61">
      <w:pPr>
        <w:ind w:left="360"/>
        <w:jc w:val="center"/>
        <w:rPr>
          <w:rFonts w:ascii="Verdana" w:hAnsi="Verdana"/>
          <w:b/>
          <w:sz w:val="20"/>
          <w:szCs w:val="20"/>
        </w:rPr>
      </w:pPr>
      <w:r w:rsidRPr="005C415B">
        <w:rPr>
          <w:rFonts w:ascii="Verdana" w:hAnsi="Verdana"/>
          <w:b/>
          <w:sz w:val="20"/>
          <w:szCs w:val="20"/>
        </w:rPr>
        <w:t>NIVELACIÓN POR CARRERA Y GENERAL</w:t>
      </w:r>
    </w:p>
    <w:tbl>
      <w:tblPr>
        <w:tblW w:w="7200" w:type="dxa"/>
        <w:jc w:val="center"/>
        <w:tblInd w:w="55" w:type="dxa"/>
        <w:tblCellMar>
          <w:left w:w="70" w:type="dxa"/>
          <w:right w:w="70" w:type="dxa"/>
        </w:tblCellMar>
        <w:tblLook w:val="04A0"/>
      </w:tblPr>
      <w:tblGrid>
        <w:gridCol w:w="1148"/>
        <w:gridCol w:w="1252"/>
        <w:gridCol w:w="1282"/>
        <w:gridCol w:w="1282"/>
        <w:gridCol w:w="1282"/>
        <w:gridCol w:w="1282"/>
      </w:tblGrid>
      <w:tr w:rsidR="006A0D61" w:rsidRPr="006A0D61" w:rsidTr="00943B86">
        <w:trPr>
          <w:trHeight w:val="330"/>
          <w:jc w:val="center"/>
        </w:trPr>
        <w:tc>
          <w:tcPr>
            <w:tcW w:w="2400" w:type="dxa"/>
            <w:gridSpan w:val="2"/>
            <w:vMerge w:val="restart"/>
            <w:tcBorders>
              <w:top w:val="single" w:sz="8" w:space="0" w:color="auto"/>
              <w:left w:val="single" w:sz="8" w:space="0" w:color="auto"/>
              <w:bottom w:val="single" w:sz="8" w:space="0" w:color="000000"/>
              <w:right w:val="nil"/>
            </w:tcBorders>
            <w:shd w:val="clear" w:color="000000" w:fill="EBF1DE"/>
            <w:vAlign w:val="center"/>
            <w:hideMark/>
          </w:tcPr>
          <w:p w:rsidR="006A0D61" w:rsidRPr="006A0D61" w:rsidRDefault="006A0D61" w:rsidP="006A0D61">
            <w:pPr>
              <w:spacing w:after="0" w:line="240" w:lineRule="auto"/>
              <w:jc w:val="center"/>
              <w:rPr>
                <w:rFonts w:ascii="Calibri" w:eastAsia="Times New Roman" w:hAnsi="Calibri" w:cs="Calibri"/>
                <w:b/>
                <w:bCs/>
                <w:color w:val="000000"/>
                <w:lang w:val="es-EC" w:eastAsia="es-EC"/>
              </w:rPr>
            </w:pPr>
            <w:r w:rsidRPr="006A0D61">
              <w:rPr>
                <w:rFonts w:ascii="Calibri" w:eastAsia="Times New Roman" w:hAnsi="Calibri" w:cs="Calibri"/>
                <w:b/>
                <w:bCs/>
                <w:color w:val="000000"/>
                <w:lang w:val="es-EC" w:eastAsia="es-EC"/>
              </w:rPr>
              <w:t>Calificación ( % )</w:t>
            </w:r>
          </w:p>
        </w:tc>
        <w:tc>
          <w:tcPr>
            <w:tcW w:w="4800" w:type="dxa"/>
            <w:gridSpan w:val="4"/>
            <w:tcBorders>
              <w:top w:val="single" w:sz="8" w:space="0" w:color="auto"/>
              <w:left w:val="single" w:sz="8" w:space="0" w:color="auto"/>
              <w:bottom w:val="single" w:sz="8" w:space="0" w:color="auto"/>
              <w:right w:val="single" w:sz="8" w:space="0" w:color="000000"/>
            </w:tcBorders>
            <w:shd w:val="clear" w:color="000000" w:fill="D8E4BC"/>
            <w:noWrap/>
            <w:vAlign w:val="bottom"/>
            <w:hideMark/>
          </w:tcPr>
          <w:p w:rsidR="006A0D61" w:rsidRPr="006A0D61" w:rsidRDefault="006A0D61" w:rsidP="006A0D61">
            <w:pPr>
              <w:spacing w:after="0" w:line="240" w:lineRule="auto"/>
              <w:jc w:val="center"/>
              <w:rPr>
                <w:rFonts w:ascii="Calibri" w:eastAsia="Times New Roman" w:hAnsi="Calibri" w:cs="Calibri"/>
                <w:b/>
                <w:bCs/>
                <w:color w:val="000000"/>
                <w:sz w:val="24"/>
                <w:szCs w:val="24"/>
                <w:lang w:val="es-EC" w:eastAsia="es-EC"/>
              </w:rPr>
            </w:pPr>
            <w:r w:rsidRPr="006A0D61">
              <w:rPr>
                <w:rFonts w:ascii="Calibri" w:eastAsia="Times New Roman" w:hAnsi="Calibri" w:cs="Calibri"/>
                <w:b/>
                <w:bCs/>
                <w:color w:val="000000"/>
                <w:sz w:val="24"/>
                <w:szCs w:val="24"/>
                <w:lang w:val="es-EC" w:eastAsia="es-EC"/>
              </w:rPr>
              <w:t>CATEGORÍA DE LA IES</w:t>
            </w:r>
          </w:p>
        </w:tc>
      </w:tr>
      <w:tr w:rsidR="006A0D61" w:rsidRPr="006A0D61" w:rsidTr="00943B86">
        <w:trPr>
          <w:trHeight w:val="360"/>
          <w:jc w:val="center"/>
        </w:trPr>
        <w:tc>
          <w:tcPr>
            <w:tcW w:w="2400" w:type="dxa"/>
            <w:gridSpan w:val="2"/>
            <w:vMerge/>
            <w:tcBorders>
              <w:top w:val="single" w:sz="8" w:space="0" w:color="auto"/>
              <w:left w:val="single" w:sz="8" w:space="0" w:color="auto"/>
              <w:bottom w:val="single" w:sz="8" w:space="0" w:color="000000"/>
              <w:right w:val="nil"/>
            </w:tcBorders>
            <w:vAlign w:val="center"/>
            <w:hideMark/>
          </w:tcPr>
          <w:p w:rsidR="006A0D61" w:rsidRPr="006A0D61" w:rsidRDefault="006A0D61" w:rsidP="006A0D61">
            <w:pPr>
              <w:spacing w:after="0" w:line="240" w:lineRule="auto"/>
              <w:rPr>
                <w:rFonts w:ascii="Calibri" w:eastAsia="Times New Roman" w:hAnsi="Calibri" w:cs="Calibri"/>
                <w:b/>
                <w:bCs/>
                <w:color w:val="000000"/>
                <w:lang w:val="es-EC" w:eastAsia="es-EC"/>
              </w:rPr>
            </w:pPr>
          </w:p>
        </w:tc>
        <w:tc>
          <w:tcPr>
            <w:tcW w:w="1200" w:type="dxa"/>
            <w:tcBorders>
              <w:top w:val="nil"/>
              <w:left w:val="single" w:sz="8" w:space="0" w:color="auto"/>
              <w:bottom w:val="single" w:sz="8" w:space="0" w:color="auto"/>
              <w:right w:val="nil"/>
            </w:tcBorders>
            <w:shd w:val="clear" w:color="000000" w:fill="0070C0"/>
            <w:noWrap/>
            <w:vAlign w:val="center"/>
            <w:hideMark/>
          </w:tcPr>
          <w:p w:rsidR="006A0D61" w:rsidRPr="006A0D61" w:rsidRDefault="006A0D61" w:rsidP="006A0D61">
            <w:pPr>
              <w:spacing w:after="0" w:line="240" w:lineRule="auto"/>
              <w:jc w:val="center"/>
              <w:rPr>
                <w:rFonts w:ascii="Calibri" w:eastAsia="Times New Roman" w:hAnsi="Calibri" w:cs="Calibri"/>
                <w:b/>
                <w:bCs/>
                <w:color w:val="000000"/>
                <w:sz w:val="26"/>
                <w:szCs w:val="26"/>
                <w:lang w:val="es-EC" w:eastAsia="es-EC"/>
              </w:rPr>
            </w:pPr>
            <w:r w:rsidRPr="006A0D61">
              <w:rPr>
                <w:rFonts w:ascii="Calibri" w:eastAsia="Times New Roman" w:hAnsi="Calibri" w:cs="Calibri"/>
                <w:b/>
                <w:bCs/>
                <w:color w:val="000000"/>
                <w:sz w:val="26"/>
                <w:szCs w:val="26"/>
                <w:lang w:val="es-EC" w:eastAsia="es-EC"/>
              </w:rPr>
              <w:t>A</w:t>
            </w:r>
          </w:p>
        </w:tc>
        <w:tc>
          <w:tcPr>
            <w:tcW w:w="1200" w:type="dxa"/>
            <w:tcBorders>
              <w:top w:val="nil"/>
              <w:left w:val="single" w:sz="8" w:space="0" w:color="auto"/>
              <w:bottom w:val="single" w:sz="8" w:space="0" w:color="auto"/>
              <w:right w:val="nil"/>
            </w:tcBorders>
            <w:shd w:val="clear" w:color="000000" w:fill="538DD5"/>
            <w:noWrap/>
            <w:vAlign w:val="center"/>
            <w:hideMark/>
          </w:tcPr>
          <w:p w:rsidR="006A0D61" w:rsidRPr="006A0D61" w:rsidRDefault="006A0D61" w:rsidP="006A0D61">
            <w:pPr>
              <w:spacing w:after="0" w:line="240" w:lineRule="auto"/>
              <w:jc w:val="center"/>
              <w:rPr>
                <w:rFonts w:ascii="Calibri" w:eastAsia="Times New Roman" w:hAnsi="Calibri" w:cs="Calibri"/>
                <w:b/>
                <w:bCs/>
                <w:color w:val="000000"/>
                <w:sz w:val="26"/>
                <w:szCs w:val="26"/>
                <w:lang w:val="es-EC" w:eastAsia="es-EC"/>
              </w:rPr>
            </w:pPr>
            <w:r w:rsidRPr="006A0D61">
              <w:rPr>
                <w:rFonts w:ascii="Calibri" w:eastAsia="Times New Roman" w:hAnsi="Calibri" w:cs="Calibri"/>
                <w:b/>
                <w:bCs/>
                <w:color w:val="000000"/>
                <w:sz w:val="26"/>
                <w:szCs w:val="26"/>
                <w:lang w:val="es-EC" w:eastAsia="es-EC"/>
              </w:rPr>
              <w:t>B</w:t>
            </w:r>
          </w:p>
        </w:tc>
        <w:tc>
          <w:tcPr>
            <w:tcW w:w="1200" w:type="dxa"/>
            <w:tcBorders>
              <w:top w:val="nil"/>
              <w:left w:val="single" w:sz="8" w:space="0" w:color="auto"/>
              <w:bottom w:val="single" w:sz="8" w:space="0" w:color="auto"/>
              <w:right w:val="nil"/>
            </w:tcBorders>
            <w:shd w:val="clear" w:color="000000" w:fill="8DB4E2"/>
            <w:noWrap/>
            <w:vAlign w:val="center"/>
            <w:hideMark/>
          </w:tcPr>
          <w:p w:rsidR="006A0D61" w:rsidRPr="006A0D61" w:rsidRDefault="006A0D61" w:rsidP="006A0D61">
            <w:pPr>
              <w:spacing w:after="0" w:line="240" w:lineRule="auto"/>
              <w:jc w:val="center"/>
              <w:rPr>
                <w:rFonts w:ascii="Calibri" w:eastAsia="Times New Roman" w:hAnsi="Calibri" w:cs="Calibri"/>
                <w:b/>
                <w:bCs/>
                <w:color w:val="000000"/>
                <w:sz w:val="26"/>
                <w:szCs w:val="26"/>
                <w:lang w:val="es-EC" w:eastAsia="es-EC"/>
              </w:rPr>
            </w:pPr>
            <w:r w:rsidRPr="006A0D61">
              <w:rPr>
                <w:rFonts w:ascii="Calibri" w:eastAsia="Times New Roman" w:hAnsi="Calibri" w:cs="Calibri"/>
                <w:b/>
                <w:bCs/>
                <w:color w:val="000000"/>
                <w:sz w:val="26"/>
                <w:szCs w:val="26"/>
                <w:lang w:val="es-EC" w:eastAsia="es-EC"/>
              </w:rPr>
              <w:t>C</w:t>
            </w:r>
          </w:p>
        </w:tc>
        <w:tc>
          <w:tcPr>
            <w:tcW w:w="1200" w:type="dxa"/>
            <w:tcBorders>
              <w:top w:val="nil"/>
              <w:left w:val="single" w:sz="8" w:space="0" w:color="auto"/>
              <w:bottom w:val="single" w:sz="8" w:space="0" w:color="auto"/>
              <w:right w:val="single" w:sz="8" w:space="0" w:color="auto"/>
            </w:tcBorders>
            <w:shd w:val="clear" w:color="000000" w:fill="C5D9F1"/>
            <w:noWrap/>
            <w:vAlign w:val="center"/>
            <w:hideMark/>
          </w:tcPr>
          <w:p w:rsidR="006A0D61" w:rsidRPr="006A0D61" w:rsidRDefault="006A0D61" w:rsidP="006A0D61">
            <w:pPr>
              <w:spacing w:after="0" w:line="240" w:lineRule="auto"/>
              <w:jc w:val="center"/>
              <w:rPr>
                <w:rFonts w:ascii="Calibri" w:eastAsia="Times New Roman" w:hAnsi="Calibri" w:cs="Calibri"/>
                <w:b/>
                <w:bCs/>
                <w:color w:val="000000"/>
                <w:sz w:val="26"/>
                <w:szCs w:val="26"/>
                <w:lang w:val="es-EC" w:eastAsia="es-EC"/>
              </w:rPr>
            </w:pPr>
            <w:r w:rsidRPr="006A0D61">
              <w:rPr>
                <w:rFonts w:ascii="Calibri" w:eastAsia="Times New Roman" w:hAnsi="Calibri" w:cs="Calibri"/>
                <w:b/>
                <w:bCs/>
                <w:color w:val="000000"/>
                <w:sz w:val="26"/>
                <w:szCs w:val="26"/>
                <w:lang w:val="es-EC" w:eastAsia="es-EC"/>
              </w:rPr>
              <w:t>D</w:t>
            </w:r>
          </w:p>
        </w:tc>
      </w:tr>
      <w:tr w:rsidR="006A0D61" w:rsidRPr="006A0D61" w:rsidTr="00943B86">
        <w:trPr>
          <w:trHeight w:val="315"/>
          <w:jc w:val="center"/>
        </w:trPr>
        <w:tc>
          <w:tcPr>
            <w:tcW w:w="2400" w:type="dxa"/>
            <w:gridSpan w:val="2"/>
            <w:vMerge/>
            <w:tcBorders>
              <w:top w:val="single" w:sz="8" w:space="0" w:color="auto"/>
              <w:left w:val="single" w:sz="8" w:space="0" w:color="auto"/>
              <w:bottom w:val="single" w:sz="8" w:space="0" w:color="000000"/>
              <w:right w:val="nil"/>
            </w:tcBorders>
            <w:vAlign w:val="center"/>
            <w:hideMark/>
          </w:tcPr>
          <w:p w:rsidR="006A0D61" w:rsidRPr="006A0D61" w:rsidRDefault="006A0D61" w:rsidP="006A0D61">
            <w:pPr>
              <w:spacing w:after="0" w:line="240" w:lineRule="auto"/>
              <w:rPr>
                <w:rFonts w:ascii="Calibri" w:eastAsia="Times New Roman" w:hAnsi="Calibri" w:cs="Calibri"/>
                <w:b/>
                <w:bCs/>
                <w:color w:val="000000"/>
                <w:lang w:val="es-EC" w:eastAsia="es-EC"/>
              </w:rPr>
            </w:pPr>
          </w:p>
        </w:tc>
        <w:tc>
          <w:tcPr>
            <w:tcW w:w="1200" w:type="dxa"/>
            <w:vMerge w:val="restart"/>
            <w:tcBorders>
              <w:top w:val="nil"/>
              <w:left w:val="single" w:sz="8" w:space="0" w:color="auto"/>
              <w:bottom w:val="single" w:sz="8" w:space="0" w:color="000000"/>
              <w:right w:val="single" w:sz="8" w:space="0" w:color="auto"/>
            </w:tcBorders>
            <w:shd w:val="clear" w:color="000000" w:fill="0070C0"/>
            <w:vAlign w:val="center"/>
            <w:hideMark/>
          </w:tcPr>
          <w:p w:rsidR="006A0D61" w:rsidRPr="006A0D61" w:rsidRDefault="006A0D61" w:rsidP="006A0D61">
            <w:pPr>
              <w:spacing w:after="0" w:line="240" w:lineRule="auto"/>
              <w:jc w:val="center"/>
              <w:rPr>
                <w:rFonts w:ascii="Calibri" w:eastAsia="Times New Roman" w:hAnsi="Calibri" w:cs="Calibri"/>
                <w:b/>
                <w:bCs/>
                <w:color w:val="000000"/>
                <w:lang w:val="es-EC" w:eastAsia="es-EC"/>
              </w:rPr>
            </w:pPr>
            <w:r w:rsidRPr="006A0D61">
              <w:rPr>
                <w:rFonts w:ascii="Calibri" w:eastAsia="Times New Roman" w:hAnsi="Calibri" w:cs="Calibri"/>
                <w:b/>
                <w:bCs/>
                <w:color w:val="000000"/>
                <w:lang w:val="es-EC" w:eastAsia="es-EC"/>
              </w:rPr>
              <w:t>Presupuesto (USD)</w:t>
            </w:r>
          </w:p>
        </w:tc>
        <w:tc>
          <w:tcPr>
            <w:tcW w:w="1200" w:type="dxa"/>
            <w:vMerge w:val="restart"/>
            <w:tcBorders>
              <w:top w:val="nil"/>
              <w:left w:val="single" w:sz="8" w:space="0" w:color="auto"/>
              <w:bottom w:val="single" w:sz="8" w:space="0" w:color="000000"/>
              <w:right w:val="single" w:sz="8" w:space="0" w:color="auto"/>
            </w:tcBorders>
            <w:shd w:val="clear" w:color="000000" w:fill="538DD5"/>
            <w:vAlign w:val="center"/>
            <w:hideMark/>
          </w:tcPr>
          <w:p w:rsidR="006A0D61" w:rsidRPr="006A0D61" w:rsidRDefault="006A0D61" w:rsidP="006A0D61">
            <w:pPr>
              <w:spacing w:after="0" w:line="240" w:lineRule="auto"/>
              <w:jc w:val="center"/>
              <w:rPr>
                <w:rFonts w:ascii="Calibri" w:eastAsia="Times New Roman" w:hAnsi="Calibri" w:cs="Calibri"/>
                <w:b/>
                <w:bCs/>
                <w:color w:val="000000"/>
                <w:lang w:val="es-EC" w:eastAsia="es-EC"/>
              </w:rPr>
            </w:pPr>
            <w:r w:rsidRPr="006A0D61">
              <w:rPr>
                <w:rFonts w:ascii="Calibri" w:eastAsia="Times New Roman" w:hAnsi="Calibri" w:cs="Calibri"/>
                <w:b/>
                <w:bCs/>
                <w:color w:val="000000"/>
                <w:lang w:val="es-EC" w:eastAsia="es-EC"/>
              </w:rPr>
              <w:t>Presupuesto (USD)</w:t>
            </w:r>
          </w:p>
        </w:tc>
        <w:tc>
          <w:tcPr>
            <w:tcW w:w="1200" w:type="dxa"/>
            <w:vMerge w:val="restart"/>
            <w:tcBorders>
              <w:top w:val="nil"/>
              <w:left w:val="single" w:sz="8" w:space="0" w:color="auto"/>
              <w:bottom w:val="single" w:sz="8" w:space="0" w:color="000000"/>
              <w:right w:val="single" w:sz="8" w:space="0" w:color="auto"/>
            </w:tcBorders>
            <w:shd w:val="clear" w:color="000000" w:fill="8DB4E2"/>
            <w:vAlign w:val="center"/>
            <w:hideMark/>
          </w:tcPr>
          <w:p w:rsidR="006A0D61" w:rsidRPr="006A0D61" w:rsidRDefault="006A0D61" w:rsidP="006A0D61">
            <w:pPr>
              <w:spacing w:after="0" w:line="240" w:lineRule="auto"/>
              <w:jc w:val="center"/>
              <w:rPr>
                <w:rFonts w:ascii="Calibri" w:eastAsia="Times New Roman" w:hAnsi="Calibri" w:cs="Calibri"/>
                <w:b/>
                <w:bCs/>
                <w:color w:val="000000"/>
                <w:lang w:val="es-EC" w:eastAsia="es-EC"/>
              </w:rPr>
            </w:pPr>
            <w:r w:rsidRPr="006A0D61">
              <w:rPr>
                <w:rFonts w:ascii="Calibri" w:eastAsia="Times New Roman" w:hAnsi="Calibri" w:cs="Calibri"/>
                <w:b/>
                <w:bCs/>
                <w:color w:val="000000"/>
                <w:lang w:val="es-EC" w:eastAsia="es-EC"/>
              </w:rPr>
              <w:t>Presupuesto (USD)</w:t>
            </w:r>
          </w:p>
        </w:tc>
        <w:tc>
          <w:tcPr>
            <w:tcW w:w="1200" w:type="dxa"/>
            <w:vMerge w:val="restart"/>
            <w:tcBorders>
              <w:top w:val="nil"/>
              <w:left w:val="single" w:sz="8" w:space="0" w:color="auto"/>
              <w:bottom w:val="single" w:sz="8" w:space="0" w:color="000000"/>
              <w:right w:val="single" w:sz="8" w:space="0" w:color="auto"/>
            </w:tcBorders>
            <w:shd w:val="clear" w:color="000000" w:fill="C5D9F1"/>
            <w:vAlign w:val="center"/>
            <w:hideMark/>
          </w:tcPr>
          <w:p w:rsidR="006A0D61" w:rsidRPr="006A0D61" w:rsidRDefault="006A0D61" w:rsidP="006A0D61">
            <w:pPr>
              <w:spacing w:after="0" w:line="240" w:lineRule="auto"/>
              <w:jc w:val="center"/>
              <w:rPr>
                <w:rFonts w:ascii="Calibri" w:eastAsia="Times New Roman" w:hAnsi="Calibri" w:cs="Calibri"/>
                <w:b/>
                <w:bCs/>
                <w:color w:val="000000"/>
                <w:lang w:val="es-EC" w:eastAsia="es-EC"/>
              </w:rPr>
            </w:pPr>
            <w:r w:rsidRPr="006A0D61">
              <w:rPr>
                <w:rFonts w:ascii="Calibri" w:eastAsia="Times New Roman" w:hAnsi="Calibri" w:cs="Calibri"/>
                <w:b/>
                <w:bCs/>
                <w:color w:val="000000"/>
                <w:lang w:val="es-EC" w:eastAsia="es-EC"/>
              </w:rPr>
              <w:t>Presupuesto (USD)</w:t>
            </w:r>
          </w:p>
        </w:tc>
      </w:tr>
      <w:tr w:rsidR="006A0D61" w:rsidRPr="006A0D61" w:rsidTr="00943B86">
        <w:trPr>
          <w:trHeight w:val="660"/>
          <w:jc w:val="center"/>
        </w:trPr>
        <w:tc>
          <w:tcPr>
            <w:tcW w:w="1148" w:type="dxa"/>
            <w:tcBorders>
              <w:top w:val="nil"/>
              <w:left w:val="single" w:sz="8" w:space="0" w:color="auto"/>
              <w:bottom w:val="single" w:sz="8" w:space="0" w:color="auto"/>
              <w:right w:val="single" w:sz="8" w:space="0" w:color="auto"/>
            </w:tcBorders>
            <w:shd w:val="clear" w:color="000000" w:fill="EBF1DE"/>
            <w:noWrap/>
            <w:vAlign w:val="center"/>
            <w:hideMark/>
          </w:tcPr>
          <w:p w:rsidR="006A0D61" w:rsidRPr="006A0D61" w:rsidRDefault="006A0D61" w:rsidP="006A0D61">
            <w:pPr>
              <w:spacing w:after="0" w:line="240" w:lineRule="auto"/>
              <w:jc w:val="center"/>
              <w:rPr>
                <w:rFonts w:ascii="Calibri" w:eastAsia="Times New Roman" w:hAnsi="Calibri" w:cs="Calibri"/>
                <w:b/>
                <w:bCs/>
                <w:color w:val="000000"/>
                <w:lang w:val="es-EC" w:eastAsia="es-EC"/>
              </w:rPr>
            </w:pPr>
            <w:r w:rsidRPr="006A0D61">
              <w:rPr>
                <w:rFonts w:ascii="Calibri" w:eastAsia="Times New Roman" w:hAnsi="Calibri" w:cs="Calibri"/>
                <w:b/>
                <w:bCs/>
                <w:color w:val="000000"/>
                <w:lang w:val="es-EC" w:eastAsia="es-EC"/>
              </w:rPr>
              <w:t>Mayor</w:t>
            </w:r>
            <w:r w:rsidRPr="006A0D61">
              <w:rPr>
                <w:rFonts w:ascii="Calibri" w:eastAsia="Times New Roman" w:hAnsi="Calibri" w:cs="Calibri"/>
                <w:b/>
                <w:bCs/>
                <w:color w:val="000000"/>
                <w:sz w:val="26"/>
                <w:szCs w:val="26"/>
                <w:lang w:val="es-EC" w:eastAsia="es-EC"/>
              </w:rPr>
              <w:t xml:space="preserve"> ( &gt; )</w:t>
            </w:r>
          </w:p>
        </w:tc>
        <w:tc>
          <w:tcPr>
            <w:tcW w:w="1252" w:type="dxa"/>
            <w:tcBorders>
              <w:top w:val="nil"/>
              <w:left w:val="nil"/>
              <w:bottom w:val="single" w:sz="8" w:space="0" w:color="auto"/>
              <w:right w:val="single" w:sz="8" w:space="0" w:color="auto"/>
            </w:tcBorders>
            <w:shd w:val="clear" w:color="000000" w:fill="EBF1DE"/>
            <w:vAlign w:val="bottom"/>
            <w:hideMark/>
          </w:tcPr>
          <w:p w:rsidR="006A0D61" w:rsidRPr="006A0D61" w:rsidRDefault="006A0D61" w:rsidP="006A0D61">
            <w:pPr>
              <w:spacing w:after="0" w:line="240" w:lineRule="auto"/>
              <w:jc w:val="center"/>
              <w:rPr>
                <w:rFonts w:ascii="Calibri" w:eastAsia="Times New Roman" w:hAnsi="Calibri" w:cs="Calibri"/>
                <w:b/>
                <w:bCs/>
                <w:color w:val="000000"/>
                <w:lang w:val="es-EC" w:eastAsia="es-EC"/>
              </w:rPr>
            </w:pPr>
            <w:r w:rsidRPr="006A0D61">
              <w:rPr>
                <w:rFonts w:ascii="Calibri" w:eastAsia="Times New Roman" w:hAnsi="Calibri" w:cs="Calibri"/>
                <w:b/>
                <w:bCs/>
                <w:color w:val="000000"/>
                <w:lang w:val="es-EC" w:eastAsia="es-EC"/>
              </w:rPr>
              <w:t xml:space="preserve">Menor o igual </w:t>
            </w:r>
            <w:r w:rsidRPr="006A0D61">
              <w:rPr>
                <w:rFonts w:ascii="Calibri" w:eastAsia="Times New Roman" w:hAnsi="Calibri" w:cs="Calibri"/>
                <w:b/>
                <w:bCs/>
                <w:color w:val="000000"/>
                <w:sz w:val="26"/>
                <w:szCs w:val="26"/>
                <w:lang w:val="es-EC" w:eastAsia="es-EC"/>
              </w:rPr>
              <w:t>(&lt;= )</w:t>
            </w:r>
          </w:p>
        </w:tc>
        <w:tc>
          <w:tcPr>
            <w:tcW w:w="1200" w:type="dxa"/>
            <w:vMerge/>
            <w:tcBorders>
              <w:top w:val="nil"/>
              <w:left w:val="single" w:sz="8" w:space="0" w:color="auto"/>
              <w:bottom w:val="single" w:sz="8" w:space="0" w:color="000000"/>
              <w:right w:val="single" w:sz="8" w:space="0" w:color="auto"/>
            </w:tcBorders>
            <w:vAlign w:val="center"/>
            <w:hideMark/>
          </w:tcPr>
          <w:p w:rsidR="006A0D61" w:rsidRPr="006A0D61" w:rsidRDefault="006A0D61" w:rsidP="006A0D61">
            <w:pPr>
              <w:spacing w:after="0" w:line="240" w:lineRule="auto"/>
              <w:rPr>
                <w:rFonts w:ascii="Calibri" w:eastAsia="Times New Roman" w:hAnsi="Calibri" w:cs="Calibri"/>
                <w:b/>
                <w:bCs/>
                <w:color w:val="000000"/>
                <w:lang w:val="es-EC" w:eastAsia="es-EC"/>
              </w:rPr>
            </w:pPr>
          </w:p>
        </w:tc>
        <w:tc>
          <w:tcPr>
            <w:tcW w:w="1200" w:type="dxa"/>
            <w:vMerge/>
            <w:tcBorders>
              <w:top w:val="nil"/>
              <w:left w:val="single" w:sz="8" w:space="0" w:color="auto"/>
              <w:bottom w:val="single" w:sz="8" w:space="0" w:color="000000"/>
              <w:right w:val="single" w:sz="8" w:space="0" w:color="auto"/>
            </w:tcBorders>
            <w:vAlign w:val="center"/>
            <w:hideMark/>
          </w:tcPr>
          <w:p w:rsidR="006A0D61" w:rsidRPr="006A0D61" w:rsidRDefault="006A0D61" w:rsidP="006A0D61">
            <w:pPr>
              <w:spacing w:after="0" w:line="240" w:lineRule="auto"/>
              <w:rPr>
                <w:rFonts w:ascii="Calibri" w:eastAsia="Times New Roman" w:hAnsi="Calibri" w:cs="Calibri"/>
                <w:b/>
                <w:bCs/>
                <w:color w:val="000000"/>
                <w:lang w:val="es-EC" w:eastAsia="es-EC"/>
              </w:rPr>
            </w:pPr>
          </w:p>
        </w:tc>
        <w:tc>
          <w:tcPr>
            <w:tcW w:w="1200" w:type="dxa"/>
            <w:vMerge/>
            <w:tcBorders>
              <w:top w:val="nil"/>
              <w:left w:val="single" w:sz="8" w:space="0" w:color="auto"/>
              <w:bottom w:val="single" w:sz="8" w:space="0" w:color="000000"/>
              <w:right w:val="single" w:sz="8" w:space="0" w:color="auto"/>
            </w:tcBorders>
            <w:vAlign w:val="center"/>
            <w:hideMark/>
          </w:tcPr>
          <w:p w:rsidR="006A0D61" w:rsidRPr="006A0D61" w:rsidRDefault="006A0D61" w:rsidP="006A0D61">
            <w:pPr>
              <w:spacing w:after="0" w:line="240" w:lineRule="auto"/>
              <w:rPr>
                <w:rFonts w:ascii="Calibri" w:eastAsia="Times New Roman" w:hAnsi="Calibri" w:cs="Calibri"/>
                <w:b/>
                <w:bCs/>
                <w:color w:val="000000"/>
                <w:lang w:val="es-EC" w:eastAsia="es-EC"/>
              </w:rPr>
            </w:pPr>
          </w:p>
        </w:tc>
        <w:tc>
          <w:tcPr>
            <w:tcW w:w="1200" w:type="dxa"/>
            <w:vMerge/>
            <w:tcBorders>
              <w:top w:val="nil"/>
              <w:left w:val="single" w:sz="8" w:space="0" w:color="auto"/>
              <w:bottom w:val="single" w:sz="8" w:space="0" w:color="000000"/>
              <w:right w:val="single" w:sz="8" w:space="0" w:color="auto"/>
            </w:tcBorders>
            <w:vAlign w:val="center"/>
            <w:hideMark/>
          </w:tcPr>
          <w:p w:rsidR="006A0D61" w:rsidRPr="006A0D61" w:rsidRDefault="006A0D61" w:rsidP="006A0D61">
            <w:pPr>
              <w:spacing w:after="0" w:line="240" w:lineRule="auto"/>
              <w:rPr>
                <w:rFonts w:ascii="Calibri" w:eastAsia="Times New Roman" w:hAnsi="Calibri" w:cs="Calibri"/>
                <w:b/>
                <w:bCs/>
                <w:color w:val="000000"/>
                <w:lang w:val="es-EC" w:eastAsia="es-EC"/>
              </w:rPr>
            </w:pPr>
          </w:p>
        </w:tc>
      </w:tr>
      <w:tr w:rsidR="006A0D61" w:rsidRPr="006A0D61" w:rsidTr="00943B86">
        <w:trPr>
          <w:trHeight w:val="360"/>
          <w:jc w:val="center"/>
        </w:trPr>
        <w:tc>
          <w:tcPr>
            <w:tcW w:w="1148" w:type="dxa"/>
            <w:tcBorders>
              <w:top w:val="nil"/>
              <w:left w:val="single" w:sz="8" w:space="0" w:color="auto"/>
              <w:bottom w:val="single" w:sz="4" w:space="0" w:color="auto"/>
              <w:right w:val="single" w:sz="4" w:space="0" w:color="auto"/>
            </w:tcBorders>
            <w:shd w:val="clear" w:color="000000" w:fill="FCD5B4"/>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0</w:t>
            </w:r>
          </w:p>
        </w:tc>
        <w:tc>
          <w:tcPr>
            <w:tcW w:w="1252" w:type="dxa"/>
            <w:tcBorders>
              <w:top w:val="nil"/>
              <w:left w:val="nil"/>
              <w:bottom w:val="single" w:sz="4" w:space="0" w:color="auto"/>
              <w:right w:val="single" w:sz="4" w:space="0" w:color="auto"/>
            </w:tcBorders>
            <w:shd w:val="clear" w:color="000000" w:fill="FCD5B4"/>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55</w:t>
            </w:r>
          </w:p>
        </w:tc>
        <w:tc>
          <w:tcPr>
            <w:tcW w:w="1200" w:type="dxa"/>
            <w:tcBorders>
              <w:top w:val="nil"/>
              <w:left w:val="nil"/>
              <w:bottom w:val="single" w:sz="4" w:space="0" w:color="auto"/>
              <w:right w:val="single" w:sz="4" w:space="0" w:color="auto"/>
            </w:tcBorders>
            <w:shd w:val="clear" w:color="000000" w:fill="0070C0"/>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280</w:t>
            </w:r>
          </w:p>
        </w:tc>
        <w:tc>
          <w:tcPr>
            <w:tcW w:w="1200" w:type="dxa"/>
            <w:tcBorders>
              <w:top w:val="nil"/>
              <w:left w:val="nil"/>
              <w:bottom w:val="single" w:sz="4" w:space="0" w:color="auto"/>
              <w:right w:val="single" w:sz="4" w:space="0" w:color="auto"/>
            </w:tcBorders>
            <w:shd w:val="clear" w:color="000000" w:fill="538DD5"/>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260</w:t>
            </w:r>
          </w:p>
        </w:tc>
        <w:tc>
          <w:tcPr>
            <w:tcW w:w="1200" w:type="dxa"/>
            <w:tcBorders>
              <w:top w:val="nil"/>
              <w:left w:val="nil"/>
              <w:bottom w:val="single" w:sz="4" w:space="0" w:color="auto"/>
              <w:right w:val="single" w:sz="4" w:space="0" w:color="auto"/>
            </w:tcBorders>
            <w:shd w:val="clear" w:color="000000" w:fill="8DB4E2"/>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240</w:t>
            </w:r>
          </w:p>
        </w:tc>
        <w:tc>
          <w:tcPr>
            <w:tcW w:w="1200" w:type="dxa"/>
            <w:tcBorders>
              <w:top w:val="nil"/>
              <w:left w:val="nil"/>
              <w:bottom w:val="single" w:sz="4" w:space="0" w:color="auto"/>
              <w:right w:val="single" w:sz="8" w:space="0" w:color="auto"/>
            </w:tcBorders>
            <w:shd w:val="clear" w:color="000000" w:fill="C5D9F1"/>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220</w:t>
            </w:r>
          </w:p>
        </w:tc>
      </w:tr>
      <w:tr w:rsidR="006A0D61" w:rsidRPr="006A0D61" w:rsidTr="00943B86">
        <w:trPr>
          <w:trHeight w:val="315"/>
          <w:jc w:val="center"/>
        </w:trPr>
        <w:tc>
          <w:tcPr>
            <w:tcW w:w="1148" w:type="dxa"/>
            <w:tcBorders>
              <w:top w:val="nil"/>
              <w:left w:val="single" w:sz="8" w:space="0" w:color="auto"/>
              <w:bottom w:val="single" w:sz="4" w:space="0" w:color="auto"/>
              <w:right w:val="single" w:sz="4" w:space="0" w:color="auto"/>
            </w:tcBorders>
            <w:shd w:val="clear" w:color="000000" w:fill="EBF1DE"/>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55</w:t>
            </w:r>
          </w:p>
        </w:tc>
        <w:tc>
          <w:tcPr>
            <w:tcW w:w="1252" w:type="dxa"/>
            <w:tcBorders>
              <w:top w:val="nil"/>
              <w:left w:val="nil"/>
              <w:bottom w:val="single" w:sz="4" w:space="0" w:color="auto"/>
              <w:right w:val="single" w:sz="4" w:space="0" w:color="auto"/>
            </w:tcBorders>
            <w:shd w:val="clear" w:color="000000" w:fill="EBF1DE"/>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60</w:t>
            </w:r>
          </w:p>
        </w:tc>
        <w:tc>
          <w:tcPr>
            <w:tcW w:w="1200" w:type="dxa"/>
            <w:tcBorders>
              <w:top w:val="nil"/>
              <w:left w:val="nil"/>
              <w:bottom w:val="single" w:sz="4" w:space="0" w:color="auto"/>
              <w:right w:val="single" w:sz="4" w:space="0" w:color="auto"/>
            </w:tcBorders>
            <w:shd w:val="clear" w:color="000000" w:fill="0070C0"/>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281</w:t>
            </w:r>
          </w:p>
        </w:tc>
        <w:tc>
          <w:tcPr>
            <w:tcW w:w="1200" w:type="dxa"/>
            <w:tcBorders>
              <w:top w:val="nil"/>
              <w:left w:val="nil"/>
              <w:bottom w:val="single" w:sz="4" w:space="0" w:color="auto"/>
              <w:right w:val="single" w:sz="4" w:space="0" w:color="auto"/>
            </w:tcBorders>
            <w:shd w:val="clear" w:color="000000" w:fill="538DD5"/>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261</w:t>
            </w:r>
          </w:p>
        </w:tc>
        <w:tc>
          <w:tcPr>
            <w:tcW w:w="1200" w:type="dxa"/>
            <w:tcBorders>
              <w:top w:val="nil"/>
              <w:left w:val="nil"/>
              <w:bottom w:val="single" w:sz="4" w:space="0" w:color="auto"/>
              <w:right w:val="single" w:sz="4" w:space="0" w:color="auto"/>
            </w:tcBorders>
            <w:shd w:val="clear" w:color="000000" w:fill="8DB4E2"/>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241</w:t>
            </w:r>
          </w:p>
        </w:tc>
        <w:tc>
          <w:tcPr>
            <w:tcW w:w="1200" w:type="dxa"/>
            <w:tcBorders>
              <w:top w:val="nil"/>
              <w:left w:val="nil"/>
              <w:bottom w:val="single" w:sz="4" w:space="0" w:color="auto"/>
              <w:right w:val="single" w:sz="8" w:space="0" w:color="auto"/>
            </w:tcBorders>
            <w:shd w:val="clear" w:color="000000" w:fill="C5D9F1"/>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221</w:t>
            </w:r>
          </w:p>
        </w:tc>
      </w:tr>
      <w:tr w:rsidR="006A0D61" w:rsidRPr="006A0D61" w:rsidTr="00943B86">
        <w:trPr>
          <w:trHeight w:val="315"/>
          <w:jc w:val="center"/>
        </w:trPr>
        <w:tc>
          <w:tcPr>
            <w:tcW w:w="1148" w:type="dxa"/>
            <w:tcBorders>
              <w:top w:val="nil"/>
              <w:left w:val="single" w:sz="8" w:space="0" w:color="auto"/>
              <w:bottom w:val="single" w:sz="4" w:space="0" w:color="auto"/>
              <w:right w:val="single" w:sz="4" w:space="0" w:color="auto"/>
            </w:tcBorders>
            <w:shd w:val="clear" w:color="000000" w:fill="EBF1DE"/>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60</w:t>
            </w:r>
          </w:p>
        </w:tc>
        <w:tc>
          <w:tcPr>
            <w:tcW w:w="1252" w:type="dxa"/>
            <w:tcBorders>
              <w:top w:val="nil"/>
              <w:left w:val="nil"/>
              <w:bottom w:val="single" w:sz="4" w:space="0" w:color="auto"/>
              <w:right w:val="single" w:sz="4" w:space="0" w:color="auto"/>
            </w:tcBorders>
            <w:shd w:val="clear" w:color="000000" w:fill="EBF1DE"/>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65</w:t>
            </w:r>
          </w:p>
        </w:tc>
        <w:tc>
          <w:tcPr>
            <w:tcW w:w="1200" w:type="dxa"/>
            <w:tcBorders>
              <w:top w:val="nil"/>
              <w:left w:val="nil"/>
              <w:bottom w:val="single" w:sz="4" w:space="0" w:color="auto"/>
              <w:right w:val="single" w:sz="4" w:space="0" w:color="auto"/>
            </w:tcBorders>
            <w:shd w:val="clear" w:color="000000" w:fill="0070C0"/>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282</w:t>
            </w:r>
          </w:p>
        </w:tc>
        <w:tc>
          <w:tcPr>
            <w:tcW w:w="1200" w:type="dxa"/>
            <w:tcBorders>
              <w:top w:val="nil"/>
              <w:left w:val="nil"/>
              <w:bottom w:val="single" w:sz="4" w:space="0" w:color="auto"/>
              <w:right w:val="single" w:sz="4" w:space="0" w:color="auto"/>
            </w:tcBorders>
            <w:shd w:val="clear" w:color="000000" w:fill="538DD5"/>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262</w:t>
            </w:r>
          </w:p>
        </w:tc>
        <w:tc>
          <w:tcPr>
            <w:tcW w:w="1200" w:type="dxa"/>
            <w:tcBorders>
              <w:top w:val="nil"/>
              <w:left w:val="nil"/>
              <w:bottom w:val="single" w:sz="4" w:space="0" w:color="auto"/>
              <w:right w:val="single" w:sz="4" w:space="0" w:color="auto"/>
            </w:tcBorders>
            <w:shd w:val="clear" w:color="000000" w:fill="8DB4E2"/>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242</w:t>
            </w:r>
          </w:p>
        </w:tc>
        <w:tc>
          <w:tcPr>
            <w:tcW w:w="1200" w:type="dxa"/>
            <w:tcBorders>
              <w:top w:val="nil"/>
              <w:left w:val="nil"/>
              <w:bottom w:val="single" w:sz="4" w:space="0" w:color="auto"/>
              <w:right w:val="single" w:sz="8" w:space="0" w:color="auto"/>
            </w:tcBorders>
            <w:shd w:val="clear" w:color="000000" w:fill="C5D9F1"/>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222</w:t>
            </w:r>
          </w:p>
        </w:tc>
      </w:tr>
      <w:tr w:rsidR="006A0D61" w:rsidRPr="006A0D61" w:rsidTr="00943B86">
        <w:trPr>
          <w:trHeight w:val="360"/>
          <w:jc w:val="center"/>
        </w:trPr>
        <w:tc>
          <w:tcPr>
            <w:tcW w:w="1148" w:type="dxa"/>
            <w:tcBorders>
              <w:top w:val="nil"/>
              <w:left w:val="single" w:sz="8" w:space="0" w:color="auto"/>
              <w:bottom w:val="single" w:sz="4" w:space="0" w:color="auto"/>
              <w:right w:val="single" w:sz="4" w:space="0" w:color="auto"/>
            </w:tcBorders>
            <w:shd w:val="clear" w:color="000000" w:fill="EBF1DE"/>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65</w:t>
            </w:r>
          </w:p>
        </w:tc>
        <w:tc>
          <w:tcPr>
            <w:tcW w:w="1252" w:type="dxa"/>
            <w:tcBorders>
              <w:top w:val="nil"/>
              <w:left w:val="nil"/>
              <w:bottom w:val="single" w:sz="4" w:space="0" w:color="auto"/>
              <w:right w:val="single" w:sz="4" w:space="0" w:color="auto"/>
            </w:tcBorders>
            <w:shd w:val="clear" w:color="000000" w:fill="EBF1DE"/>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70</w:t>
            </w:r>
          </w:p>
        </w:tc>
        <w:tc>
          <w:tcPr>
            <w:tcW w:w="1200" w:type="dxa"/>
            <w:tcBorders>
              <w:top w:val="nil"/>
              <w:left w:val="nil"/>
              <w:bottom w:val="single" w:sz="4" w:space="0" w:color="auto"/>
              <w:right w:val="single" w:sz="4" w:space="0" w:color="auto"/>
            </w:tcBorders>
            <w:shd w:val="clear" w:color="000000" w:fill="0070C0"/>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285</w:t>
            </w:r>
          </w:p>
        </w:tc>
        <w:tc>
          <w:tcPr>
            <w:tcW w:w="1200" w:type="dxa"/>
            <w:tcBorders>
              <w:top w:val="nil"/>
              <w:left w:val="nil"/>
              <w:bottom w:val="single" w:sz="4" w:space="0" w:color="auto"/>
              <w:right w:val="single" w:sz="4" w:space="0" w:color="auto"/>
            </w:tcBorders>
            <w:shd w:val="clear" w:color="000000" w:fill="538DD5"/>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265</w:t>
            </w:r>
          </w:p>
        </w:tc>
        <w:tc>
          <w:tcPr>
            <w:tcW w:w="1200" w:type="dxa"/>
            <w:tcBorders>
              <w:top w:val="nil"/>
              <w:left w:val="nil"/>
              <w:bottom w:val="single" w:sz="4" w:space="0" w:color="auto"/>
              <w:right w:val="single" w:sz="4" w:space="0" w:color="auto"/>
            </w:tcBorders>
            <w:shd w:val="clear" w:color="000000" w:fill="8DB4E2"/>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245</w:t>
            </w:r>
          </w:p>
        </w:tc>
        <w:tc>
          <w:tcPr>
            <w:tcW w:w="1200" w:type="dxa"/>
            <w:tcBorders>
              <w:top w:val="nil"/>
              <w:left w:val="nil"/>
              <w:bottom w:val="single" w:sz="4" w:space="0" w:color="auto"/>
              <w:right w:val="single" w:sz="8" w:space="0" w:color="auto"/>
            </w:tcBorders>
            <w:shd w:val="clear" w:color="000000" w:fill="C5D9F1"/>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225</w:t>
            </w:r>
          </w:p>
        </w:tc>
      </w:tr>
      <w:tr w:rsidR="006A0D61" w:rsidRPr="006A0D61" w:rsidTr="00943B86">
        <w:trPr>
          <w:trHeight w:val="315"/>
          <w:jc w:val="center"/>
        </w:trPr>
        <w:tc>
          <w:tcPr>
            <w:tcW w:w="1148" w:type="dxa"/>
            <w:tcBorders>
              <w:top w:val="nil"/>
              <w:left w:val="single" w:sz="8" w:space="0" w:color="auto"/>
              <w:bottom w:val="single" w:sz="4" w:space="0" w:color="auto"/>
              <w:right w:val="single" w:sz="4" w:space="0" w:color="auto"/>
            </w:tcBorders>
            <w:shd w:val="clear" w:color="000000" w:fill="EBF1DE"/>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70</w:t>
            </w:r>
          </w:p>
        </w:tc>
        <w:tc>
          <w:tcPr>
            <w:tcW w:w="1252" w:type="dxa"/>
            <w:tcBorders>
              <w:top w:val="nil"/>
              <w:left w:val="nil"/>
              <w:bottom w:val="single" w:sz="4" w:space="0" w:color="auto"/>
              <w:right w:val="single" w:sz="4" w:space="0" w:color="auto"/>
            </w:tcBorders>
            <w:shd w:val="clear" w:color="000000" w:fill="EBF1DE"/>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75</w:t>
            </w:r>
          </w:p>
        </w:tc>
        <w:tc>
          <w:tcPr>
            <w:tcW w:w="1200" w:type="dxa"/>
            <w:tcBorders>
              <w:top w:val="nil"/>
              <w:left w:val="nil"/>
              <w:bottom w:val="single" w:sz="4" w:space="0" w:color="auto"/>
              <w:right w:val="single" w:sz="4" w:space="0" w:color="auto"/>
            </w:tcBorders>
            <w:shd w:val="clear" w:color="000000" w:fill="0070C0"/>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289</w:t>
            </w:r>
          </w:p>
        </w:tc>
        <w:tc>
          <w:tcPr>
            <w:tcW w:w="1200" w:type="dxa"/>
            <w:tcBorders>
              <w:top w:val="nil"/>
              <w:left w:val="nil"/>
              <w:bottom w:val="single" w:sz="4" w:space="0" w:color="auto"/>
              <w:right w:val="single" w:sz="4" w:space="0" w:color="auto"/>
            </w:tcBorders>
            <w:shd w:val="clear" w:color="000000" w:fill="538DD5"/>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269</w:t>
            </w:r>
          </w:p>
        </w:tc>
        <w:tc>
          <w:tcPr>
            <w:tcW w:w="1200" w:type="dxa"/>
            <w:tcBorders>
              <w:top w:val="nil"/>
              <w:left w:val="nil"/>
              <w:bottom w:val="single" w:sz="4" w:space="0" w:color="auto"/>
              <w:right w:val="single" w:sz="4" w:space="0" w:color="auto"/>
            </w:tcBorders>
            <w:shd w:val="clear" w:color="000000" w:fill="8DB4E2"/>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249</w:t>
            </w:r>
          </w:p>
        </w:tc>
        <w:tc>
          <w:tcPr>
            <w:tcW w:w="1200" w:type="dxa"/>
            <w:tcBorders>
              <w:top w:val="nil"/>
              <w:left w:val="nil"/>
              <w:bottom w:val="single" w:sz="4" w:space="0" w:color="auto"/>
              <w:right w:val="single" w:sz="8" w:space="0" w:color="auto"/>
            </w:tcBorders>
            <w:shd w:val="clear" w:color="000000" w:fill="C5D9F1"/>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229</w:t>
            </w:r>
          </w:p>
        </w:tc>
      </w:tr>
      <w:tr w:rsidR="006A0D61" w:rsidRPr="006A0D61" w:rsidTr="00943B86">
        <w:trPr>
          <w:trHeight w:val="315"/>
          <w:jc w:val="center"/>
        </w:trPr>
        <w:tc>
          <w:tcPr>
            <w:tcW w:w="1148" w:type="dxa"/>
            <w:tcBorders>
              <w:top w:val="nil"/>
              <w:left w:val="single" w:sz="8" w:space="0" w:color="auto"/>
              <w:bottom w:val="single" w:sz="4" w:space="0" w:color="auto"/>
              <w:right w:val="single" w:sz="4" w:space="0" w:color="auto"/>
            </w:tcBorders>
            <w:shd w:val="clear" w:color="000000" w:fill="EBF1DE"/>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75</w:t>
            </w:r>
          </w:p>
        </w:tc>
        <w:tc>
          <w:tcPr>
            <w:tcW w:w="1252" w:type="dxa"/>
            <w:tcBorders>
              <w:top w:val="nil"/>
              <w:left w:val="nil"/>
              <w:bottom w:val="single" w:sz="4" w:space="0" w:color="auto"/>
              <w:right w:val="single" w:sz="4" w:space="0" w:color="auto"/>
            </w:tcBorders>
            <w:shd w:val="clear" w:color="000000" w:fill="EBF1DE"/>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80</w:t>
            </w:r>
          </w:p>
        </w:tc>
        <w:tc>
          <w:tcPr>
            <w:tcW w:w="1200" w:type="dxa"/>
            <w:tcBorders>
              <w:top w:val="nil"/>
              <w:left w:val="nil"/>
              <w:bottom w:val="single" w:sz="4" w:space="0" w:color="auto"/>
              <w:right w:val="single" w:sz="4" w:space="0" w:color="auto"/>
            </w:tcBorders>
            <w:shd w:val="clear" w:color="000000" w:fill="0070C0"/>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291</w:t>
            </w:r>
          </w:p>
        </w:tc>
        <w:tc>
          <w:tcPr>
            <w:tcW w:w="1200" w:type="dxa"/>
            <w:tcBorders>
              <w:top w:val="nil"/>
              <w:left w:val="nil"/>
              <w:bottom w:val="single" w:sz="4" w:space="0" w:color="auto"/>
              <w:right w:val="single" w:sz="4" w:space="0" w:color="auto"/>
            </w:tcBorders>
            <w:shd w:val="clear" w:color="000000" w:fill="538DD5"/>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271</w:t>
            </w:r>
          </w:p>
        </w:tc>
        <w:tc>
          <w:tcPr>
            <w:tcW w:w="1200" w:type="dxa"/>
            <w:tcBorders>
              <w:top w:val="nil"/>
              <w:left w:val="nil"/>
              <w:bottom w:val="single" w:sz="4" w:space="0" w:color="auto"/>
              <w:right w:val="single" w:sz="4" w:space="0" w:color="auto"/>
            </w:tcBorders>
            <w:shd w:val="clear" w:color="000000" w:fill="8DB4E2"/>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251</w:t>
            </w:r>
          </w:p>
        </w:tc>
        <w:tc>
          <w:tcPr>
            <w:tcW w:w="1200" w:type="dxa"/>
            <w:tcBorders>
              <w:top w:val="nil"/>
              <w:left w:val="nil"/>
              <w:bottom w:val="single" w:sz="4" w:space="0" w:color="auto"/>
              <w:right w:val="single" w:sz="8" w:space="0" w:color="auto"/>
            </w:tcBorders>
            <w:shd w:val="clear" w:color="000000" w:fill="C5D9F1"/>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231</w:t>
            </w:r>
          </w:p>
        </w:tc>
      </w:tr>
      <w:tr w:rsidR="006A0D61" w:rsidRPr="006A0D61" w:rsidTr="00943B86">
        <w:trPr>
          <w:trHeight w:val="360"/>
          <w:jc w:val="center"/>
        </w:trPr>
        <w:tc>
          <w:tcPr>
            <w:tcW w:w="1148" w:type="dxa"/>
            <w:tcBorders>
              <w:top w:val="nil"/>
              <w:left w:val="single" w:sz="8" w:space="0" w:color="auto"/>
              <w:bottom w:val="single" w:sz="4" w:space="0" w:color="auto"/>
              <w:right w:val="single" w:sz="4" w:space="0" w:color="auto"/>
            </w:tcBorders>
            <w:shd w:val="clear" w:color="000000" w:fill="EBF1DE"/>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80</w:t>
            </w:r>
          </w:p>
        </w:tc>
        <w:tc>
          <w:tcPr>
            <w:tcW w:w="1252" w:type="dxa"/>
            <w:tcBorders>
              <w:top w:val="nil"/>
              <w:left w:val="nil"/>
              <w:bottom w:val="single" w:sz="4" w:space="0" w:color="auto"/>
              <w:right w:val="single" w:sz="4" w:space="0" w:color="auto"/>
            </w:tcBorders>
            <w:shd w:val="clear" w:color="000000" w:fill="EBF1DE"/>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85</w:t>
            </w:r>
          </w:p>
        </w:tc>
        <w:tc>
          <w:tcPr>
            <w:tcW w:w="1200" w:type="dxa"/>
            <w:tcBorders>
              <w:top w:val="nil"/>
              <w:left w:val="nil"/>
              <w:bottom w:val="single" w:sz="4" w:space="0" w:color="auto"/>
              <w:right w:val="single" w:sz="4" w:space="0" w:color="auto"/>
            </w:tcBorders>
            <w:shd w:val="clear" w:color="000000" w:fill="0070C0"/>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296</w:t>
            </w:r>
          </w:p>
        </w:tc>
        <w:tc>
          <w:tcPr>
            <w:tcW w:w="1200" w:type="dxa"/>
            <w:tcBorders>
              <w:top w:val="nil"/>
              <w:left w:val="nil"/>
              <w:bottom w:val="single" w:sz="4" w:space="0" w:color="auto"/>
              <w:right w:val="single" w:sz="4" w:space="0" w:color="auto"/>
            </w:tcBorders>
            <w:shd w:val="clear" w:color="000000" w:fill="538DD5"/>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276</w:t>
            </w:r>
          </w:p>
        </w:tc>
        <w:tc>
          <w:tcPr>
            <w:tcW w:w="1200" w:type="dxa"/>
            <w:tcBorders>
              <w:top w:val="nil"/>
              <w:left w:val="nil"/>
              <w:bottom w:val="single" w:sz="4" w:space="0" w:color="auto"/>
              <w:right w:val="single" w:sz="4" w:space="0" w:color="auto"/>
            </w:tcBorders>
            <w:shd w:val="clear" w:color="000000" w:fill="8DB4E2"/>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256</w:t>
            </w:r>
          </w:p>
        </w:tc>
        <w:tc>
          <w:tcPr>
            <w:tcW w:w="1200" w:type="dxa"/>
            <w:tcBorders>
              <w:top w:val="nil"/>
              <w:left w:val="nil"/>
              <w:bottom w:val="single" w:sz="4" w:space="0" w:color="auto"/>
              <w:right w:val="single" w:sz="8" w:space="0" w:color="auto"/>
            </w:tcBorders>
            <w:shd w:val="clear" w:color="000000" w:fill="C5D9F1"/>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236</w:t>
            </w:r>
          </w:p>
        </w:tc>
      </w:tr>
      <w:tr w:rsidR="006A0D61" w:rsidRPr="006A0D61" w:rsidTr="00943B86">
        <w:trPr>
          <w:trHeight w:val="315"/>
          <w:jc w:val="center"/>
        </w:trPr>
        <w:tc>
          <w:tcPr>
            <w:tcW w:w="1148" w:type="dxa"/>
            <w:tcBorders>
              <w:top w:val="nil"/>
              <w:left w:val="single" w:sz="8" w:space="0" w:color="auto"/>
              <w:bottom w:val="single" w:sz="4" w:space="0" w:color="auto"/>
              <w:right w:val="single" w:sz="4" w:space="0" w:color="auto"/>
            </w:tcBorders>
            <w:shd w:val="clear" w:color="000000" w:fill="EBF1DE"/>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85</w:t>
            </w:r>
          </w:p>
        </w:tc>
        <w:tc>
          <w:tcPr>
            <w:tcW w:w="1252" w:type="dxa"/>
            <w:tcBorders>
              <w:top w:val="nil"/>
              <w:left w:val="nil"/>
              <w:bottom w:val="single" w:sz="4" w:space="0" w:color="auto"/>
              <w:right w:val="single" w:sz="4" w:space="0" w:color="auto"/>
            </w:tcBorders>
            <w:shd w:val="clear" w:color="000000" w:fill="EBF1DE"/>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90</w:t>
            </w:r>
          </w:p>
        </w:tc>
        <w:tc>
          <w:tcPr>
            <w:tcW w:w="1200" w:type="dxa"/>
            <w:tcBorders>
              <w:top w:val="nil"/>
              <w:left w:val="nil"/>
              <w:bottom w:val="single" w:sz="4" w:space="0" w:color="auto"/>
              <w:right w:val="single" w:sz="4" w:space="0" w:color="auto"/>
            </w:tcBorders>
            <w:shd w:val="clear" w:color="000000" w:fill="0070C0"/>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299</w:t>
            </w:r>
          </w:p>
        </w:tc>
        <w:tc>
          <w:tcPr>
            <w:tcW w:w="1200" w:type="dxa"/>
            <w:tcBorders>
              <w:top w:val="nil"/>
              <w:left w:val="nil"/>
              <w:bottom w:val="single" w:sz="4" w:space="0" w:color="auto"/>
              <w:right w:val="single" w:sz="4" w:space="0" w:color="auto"/>
            </w:tcBorders>
            <w:shd w:val="clear" w:color="000000" w:fill="538DD5"/>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279</w:t>
            </w:r>
          </w:p>
        </w:tc>
        <w:tc>
          <w:tcPr>
            <w:tcW w:w="1200" w:type="dxa"/>
            <w:tcBorders>
              <w:top w:val="nil"/>
              <w:left w:val="nil"/>
              <w:bottom w:val="single" w:sz="4" w:space="0" w:color="auto"/>
              <w:right w:val="single" w:sz="4" w:space="0" w:color="auto"/>
            </w:tcBorders>
            <w:shd w:val="clear" w:color="000000" w:fill="8DB4E2"/>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259</w:t>
            </w:r>
          </w:p>
        </w:tc>
        <w:tc>
          <w:tcPr>
            <w:tcW w:w="1200" w:type="dxa"/>
            <w:tcBorders>
              <w:top w:val="nil"/>
              <w:left w:val="nil"/>
              <w:bottom w:val="single" w:sz="4" w:space="0" w:color="auto"/>
              <w:right w:val="single" w:sz="8" w:space="0" w:color="auto"/>
            </w:tcBorders>
            <w:shd w:val="clear" w:color="000000" w:fill="C5D9F1"/>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239</w:t>
            </w:r>
          </w:p>
        </w:tc>
      </w:tr>
      <w:tr w:rsidR="006A0D61" w:rsidRPr="006A0D61" w:rsidTr="00943B86">
        <w:trPr>
          <w:trHeight w:val="315"/>
          <w:jc w:val="center"/>
        </w:trPr>
        <w:tc>
          <w:tcPr>
            <w:tcW w:w="1148" w:type="dxa"/>
            <w:tcBorders>
              <w:top w:val="nil"/>
              <w:left w:val="single" w:sz="8" w:space="0" w:color="auto"/>
              <w:bottom w:val="single" w:sz="8" w:space="0" w:color="auto"/>
              <w:right w:val="single" w:sz="4" w:space="0" w:color="auto"/>
            </w:tcBorders>
            <w:shd w:val="clear" w:color="000000" w:fill="FCD5B4"/>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90</w:t>
            </w:r>
          </w:p>
        </w:tc>
        <w:tc>
          <w:tcPr>
            <w:tcW w:w="1252" w:type="dxa"/>
            <w:tcBorders>
              <w:top w:val="nil"/>
              <w:left w:val="nil"/>
              <w:bottom w:val="single" w:sz="8" w:space="0" w:color="auto"/>
              <w:right w:val="single" w:sz="4" w:space="0" w:color="auto"/>
            </w:tcBorders>
            <w:shd w:val="clear" w:color="000000" w:fill="FCD5B4"/>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100</w:t>
            </w:r>
          </w:p>
        </w:tc>
        <w:tc>
          <w:tcPr>
            <w:tcW w:w="1200" w:type="dxa"/>
            <w:tcBorders>
              <w:top w:val="nil"/>
              <w:left w:val="nil"/>
              <w:bottom w:val="single" w:sz="8" w:space="0" w:color="auto"/>
              <w:right w:val="single" w:sz="4" w:space="0" w:color="auto"/>
            </w:tcBorders>
            <w:shd w:val="clear" w:color="000000" w:fill="0070C0"/>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300</w:t>
            </w:r>
          </w:p>
        </w:tc>
        <w:tc>
          <w:tcPr>
            <w:tcW w:w="1200" w:type="dxa"/>
            <w:tcBorders>
              <w:top w:val="nil"/>
              <w:left w:val="nil"/>
              <w:bottom w:val="single" w:sz="8" w:space="0" w:color="auto"/>
              <w:right w:val="single" w:sz="4" w:space="0" w:color="auto"/>
            </w:tcBorders>
            <w:shd w:val="clear" w:color="000000" w:fill="538DD5"/>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280</w:t>
            </w:r>
          </w:p>
        </w:tc>
        <w:tc>
          <w:tcPr>
            <w:tcW w:w="1200" w:type="dxa"/>
            <w:tcBorders>
              <w:top w:val="nil"/>
              <w:left w:val="nil"/>
              <w:bottom w:val="single" w:sz="8" w:space="0" w:color="auto"/>
              <w:right w:val="single" w:sz="4" w:space="0" w:color="auto"/>
            </w:tcBorders>
            <w:shd w:val="clear" w:color="000000" w:fill="8DB4E2"/>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260</w:t>
            </w:r>
          </w:p>
        </w:tc>
        <w:tc>
          <w:tcPr>
            <w:tcW w:w="1200" w:type="dxa"/>
            <w:tcBorders>
              <w:top w:val="nil"/>
              <w:left w:val="nil"/>
              <w:bottom w:val="single" w:sz="8" w:space="0" w:color="auto"/>
              <w:right w:val="single" w:sz="8" w:space="0" w:color="auto"/>
            </w:tcBorders>
            <w:shd w:val="clear" w:color="000000" w:fill="C5D9F1"/>
            <w:noWrap/>
            <w:vAlign w:val="bottom"/>
            <w:hideMark/>
          </w:tcPr>
          <w:p w:rsidR="006A0D61" w:rsidRPr="006A0D61" w:rsidRDefault="006A0D61" w:rsidP="006A0D61">
            <w:pPr>
              <w:spacing w:after="0" w:line="240" w:lineRule="auto"/>
              <w:jc w:val="center"/>
              <w:rPr>
                <w:rFonts w:ascii="Calibri" w:eastAsia="Times New Roman" w:hAnsi="Calibri" w:cs="Calibri"/>
                <w:color w:val="000000"/>
                <w:lang w:val="es-EC" w:eastAsia="es-EC"/>
              </w:rPr>
            </w:pPr>
            <w:r w:rsidRPr="006A0D61">
              <w:rPr>
                <w:rFonts w:ascii="Calibri" w:eastAsia="Times New Roman" w:hAnsi="Calibri" w:cs="Calibri"/>
                <w:color w:val="000000"/>
                <w:lang w:val="es-EC" w:eastAsia="es-EC"/>
              </w:rPr>
              <w:t>240</w:t>
            </w:r>
          </w:p>
        </w:tc>
      </w:tr>
    </w:tbl>
    <w:p w:rsidR="006A0D61" w:rsidRDefault="006A0D61" w:rsidP="00943B86">
      <w:pPr>
        <w:ind w:left="360"/>
        <w:rPr>
          <w:rFonts w:ascii="Verdana" w:hAnsi="Verdana"/>
          <w:sz w:val="20"/>
          <w:szCs w:val="20"/>
        </w:rPr>
      </w:pPr>
    </w:p>
    <w:p w:rsidR="006A0D61" w:rsidRDefault="006A0D61" w:rsidP="009D7FD9">
      <w:pPr>
        <w:ind w:left="360"/>
        <w:jc w:val="both"/>
        <w:rPr>
          <w:rFonts w:ascii="Verdana" w:hAnsi="Verdana"/>
          <w:sz w:val="20"/>
          <w:szCs w:val="20"/>
        </w:rPr>
      </w:pPr>
    </w:p>
    <w:p w:rsidR="009D7FD9" w:rsidRPr="00D02B5F" w:rsidRDefault="009D7FD9" w:rsidP="009D7FD9">
      <w:pPr>
        <w:ind w:left="360"/>
        <w:jc w:val="both"/>
        <w:rPr>
          <w:rFonts w:ascii="Verdana" w:hAnsi="Verdana"/>
          <w:sz w:val="20"/>
          <w:szCs w:val="20"/>
        </w:rPr>
      </w:pPr>
      <w:r w:rsidRPr="00D02B5F">
        <w:rPr>
          <w:rFonts w:ascii="Verdana" w:hAnsi="Verdana"/>
          <w:sz w:val="20"/>
          <w:szCs w:val="20"/>
        </w:rPr>
        <w:lastRenderedPageBreak/>
        <w:t>Para que una IES sea apta para iniciar el curso de nivelación, deberá obtener al menos el 70% del puntaje total, y haber alcanzado un mínimo de 60%,</w:t>
      </w:r>
      <w:r w:rsidR="006A0D61">
        <w:rPr>
          <w:rFonts w:ascii="Verdana" w:hAnsi="Verdana"/>
          <w:sz w:val="20"/>
          <w:szCs w:val="20"/>
        </w:rPr>
        <w:t xml:space="preserve"> en cada uno de los componentes, esto regirá para la supervisión posterior.</w:t>
      </w:r>
    </w:p>
    <w:p w:rsidR="00F42B78" w:rsidRPr="00A76827" w:rsidRDefault="00F42B78" w:rsidP="00F42B78">
      <w:pPr>
        <w:tabs>
          <w:tab w:val="left" w:pos="8789"/>
        </w:tabs>
        <w:spacing w:after="0" w:line="240" w:lineRule="auto"/>
        <w:ind w:right="49"/>
        <w:jc w:val="both"/>
        <w:rPr>
          <w:rFonts w:ascii="Times New Roman" w:hAnsi="Times New Roman"/>
          <w:b/>
          <w:sz w:val="24"/>
          <w:szCs w:val="24"/>
        </w:rPr>
      </w:pPr>
      <w:r w:rsidRPr="00A76827">
        <w:rPr>
          <w:rFonts w:ascii="Times New Roman" w:hAnsi="Times New Roman"/>
          <w:b/>
          <w:sz w:val="24"/>
          <w:szCs w:val="24"/>
        </w:rPr>
        <w:t xml:space="preserve">Anexo </w:t>
      </w:r>
      <w:r>
        <w:rPr>
          <w:rFonts w:ascii="Times New Roman" w:hAnsi="Times New Roman"/>
          <w:b/>
          <w:sz w:val="24"/>
          <w:szCs w:val="24"/>
        </w:rPr>
        <w:t>1</w:t>
      </w:r>
      <w:r w:rsidRPr="00A76827">
        <w:rPr>
          <w:rFonts w:ascii="Times New Roman" w:hAnsi="Times New Roman"/>
          <w:b/>
          <w:sz w:val="24"/>
          <w:szCs w:val="24"/>
        </w:rPr>
        <w:t xml:space="preserve">.- Componente </w:t>
      </w:r>
      <w:r>
        <w:rPr>
          <w:rFonts w:ascii="Times New Roman" w:hAnsi="Times New Roman"/>
          <w:b/>
          <w:sz w:val="24"/>
          <w:szCs w:val="24"/>
        </w:rPr>
        <w:t>1: Administración Educativa</w:t>
      </w:r>
      <w:r w:rsidRPr="00A76827">
        <w:rPr>
          <w:rFonts w:ascii="Times New Roman" w:hAnsi="Times New Roman"/>
          <w:b/>
          <w:sz w:val="24"/>
          <w:szCs w:val="24"/>
        </w:rPr>
        <w:t xml:space="preserve"> (C</w:t>
      </w:r>
      <w:r>
        <w:rPr>
          <w:rFonts w:ascii="Times New Roman" w:hAnsi="Times New Roman"/>
          <w:b/>
          <w:sz w:val="24"/>
          <w:szCs w:val="24"/>
        </w:rPr>
        <w:t>1</w:t>
      </w:r>
      <w:r w:rsidRPr="00A76827">
        <w:rPr>
          <w:rFonts w:ascii="Times New Roman" w:hAnsi="Times New Roman"/>
          <w:b/>
          <w:sz w:val="24"/>
          <w:szCs w:val="24"/>
        </w:rPr>
        <w:t>-SP)</w:t>
      </w:r>
    </w:p>
    <w:p w:rsidR="004C6AC2" w:rsidRDefault="00AF7235" w:rsidP="00F42B78">
      <w:pPr>
        <w:jc w:val="both"/>
        <w:rPr>
          <w:rFonts w:ascii="Verdana" w:hAnsi="Verdana"/>
          <w:sz w:val="20"/>
          <w:szCs w:val="20"/>
        </w:rPr>
      </w:pPr>
      <w:r>
        <w:rPr>
          <w:noProof/>
        </w:rPr>
        <w:drawing>
          <wp:inline distT="0" distB="0" distL="0" distR="0">
            <wp:extent cx="6210300" cy="302553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231" t="12234" r="3352" b="10283"/>
                    <a:stretch/>
                  </pic:blipFill>
                  <pic:spPr bwMode="auto">
                    <a:xfrm>
                      <a:off x="0" y="0"/>
                      <a:ext cx="6211158" cy="30259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6AC2" w:rsidRDefault="004C6AC2" w:rsidP="00F42B78">
      <w:pPr>
        <w:jc w:val="both"/>
        <w:rPr>
          <w:rFonts w:ascii="Verdana" w:hAnsi="Verdana"/>
          <w:sz w:val="20"/>
          <w:szCs w:val="20"/>
        </w:rPr>
      </w:pPr>
    </w:p>
    <w:p w:rsidR="004C6AC2" w:rsidRDefault="004C6AC2" w:rsidP="00F42B78">
      <w:pPr>
        <w:jc w:val="both"/>
        <w:rPr>
          <w:rFonts w:ascii="Verdana" w:hAnsi="Verdana"/>
          <w:sz w:val="20"/>
          <w:szCs w:val="20"/>
        </w:rPr>
      </w:pPr>
    </w:p>
    <w:p w:rsidR="00AF7235" w:rsidRPr="00A76827" w:rsidRDefault="00AF7235" w:rsidP="00AF7235">
      <w:pPr>
        <w:tabs>
          <w:tab w:val="left" w:pos="8789"/>
        </w:tabs>
        <w:spacing w:after="0" w:line="240" w:lineRule="auto"/>
        <w:ind w:right="49"/>
        <w:jc w:val="both"/>
        <w:rPr>
          <w:rFonts w:ascii="Times New Roman" w:hAnsi="Times New Roman"/>
          <w:b/>
          <w:sz w:val="24"/>
          <w:szCs w:val="24"/>
        </w:rPr>
      </w:pPr>
      <w:r w:rsidRPr="00A76827">
        <w:rPr>
          <w:rFonts w:ascii="Times New Roman" w:hAnsi="Times New Roman"/>
          <w:b/>
          <w:sz w:val="24"/>
          <w:szCs w:val="24"/>
        </w:rPr>
        <w:t xml:space="preserve">Anexo </w:t>
      </w:r>
      <w:r>
        <w:rPr>
          <w:rFonts w:ascii="Times New Roman" w:hAnsi="Times New Roman"/>
          <w:b/>
          <w:sz w:val="24"/>
          <w:szCs w:val="24"/>
        </w:rPr>
        <w:t>2</w:t>
      </w:r>
      <w:r w:rsidRPr="00A76827">
        <w:rPr>
          <w:rFonts w:ascii="Times New Roman" w:hAnsi="Times New Roman"/>
          <w:b/>
          <w:sz w:val="24"/>
          <w:szCs w:val="24"/>
        </w:rPr>
        <w:t xml:space="preserve">.- Componente </w:t>
      </w:r>
      <w:r>
        <w:rPr>
          <w:rFonts w:ascii="Times New Roman" w:hAnsi="Times New Roman"/>
          <w:b/>
          <w:sz w:val="24"/>
          <w:szCs w:val="24"/>
        </w:rPr>
        <w:t>2: Administración Curricular</w:t>
      </w:r>
      <w:r w:rsidRPr="00A76827">
        <w:rPr>
          <w:rFonts w:ascii="Times New Roman" w:hAnsi="Times New Roman"/>
          <w:b/>
          <w:sz w:val="24"/>
          <w:szCs w:val="24"/>
        </w:rPr>
        <w:t xml:space="preserve"> (C</w:t>
      </w:r>
      <w:r>
        <w:rPr>
          <w:rFonts w:ascii="Times New Roman" w:hAnsi="Times New Roman"/>
          <w:b/>
          <w:sz w:val="24"/>
          <w:szCs w:val="24"/>
        </w:rPr>
        <w:t>2</w:t>
      </w:r>
      <w:r w:rsidRPr="00A76827">
        <w:rPr>
          <w:rFonts w:ascii="Times New Roman" w:hAnsi="Times New Roman"/>
          <w:b/>
          <w:sz w:val="24"/>
          <w:szCs w:val="24"/>
        </w:rPr>
        <w:t>-SP)</w:t>
      </w:r>
    </w:p>
    <w:p w:rsidR="004C6AC2" w:rsidRDefault="004C6AC2" w:rsidP="00F42B78">
      <w:pPr>
        <w:jc w:val="both"/>
        <w:rPr>
          <w:rFonts w:ascii="Verdana" w:hAnsi="Verdana"/>
          <w:sz w:val="20"/>
          <w:szCs w:val="20"/>
        </w:rPr>
      </w:pPr>
    </w:p>
    <w:p w:rsidR="00AF7235" w:rsidRDefault="00AF7235" w:rsidP="00F42B78">
      <w:pPr>
        <w:jc w:val="both"/>
        <w:rPr>
          <w:rFonts w:ascii="Verdana" w:hAnsi="Verdana"/>
          <w:sz w:val="20"/>
          <w:szCs w:val="20"/>
        </w:rPr>
      </w:pPr>
      <w:r>
        <w:rPr>
          <w:noProof/>
        </w:rPr>
        <w:drawing>
          <wp:inline distT="0" distB="0" distL="0" distR="0">
            <wp:extent cx="5904002" cy="3257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7761" t="13042" r="14109" b="10284"/>
                    <a:stretch/>
                  </pic:blipFill>
                  <pic:spPr bwMode="auto">
                    <a:xfrm>
                      <a:off x="0" y="0"/>
                      <a:ext cx="5904806" cy="32579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6AC2" w:rsidRDefault="004C6AC2" w:rsidP="00F42B78">
      <w:pPr>
        <w:jc w:val="both"/>
        <w:rPr>
          <w:rFonts w:ascii="Verdana" w:hAnsi="Verdana"/>
          <w:sz w:val="20"/>
          <w:szCs w:val="20"/>
        </w:rPr>
      </w:pPr>
    </w:p>
    <w:tbl>
      <w:tblPr>
        <w:tblW w:w="10786" w:type="dxa"/>
        <w:tblInd w:w="55" w:type="dxa"/>
        <w:tblCellMar>
          <w:left w:w="70" w:type="dxa"/>
          <w:right w:w="70" w:type="dxa"/>
        </w:tblCellMar>
        <w:tblLook w:val="04A0"/>
      </w:tblPr>
      <w:tblGrid>
        <w:gridCol w:w="589"/>
        <w:gridCol w:w="6063"/>
        <w:gridCol w:w="211"/>
        <w:gridCol w:w="651"/>
        <w:gridCol w:w="168"/>
        <w:gridCol w:w="980"/>
        <w:gridCol w:w="249"/>
        <w:gridCol w:w="146"/>
        <w:gridCol w:w="788"/>
        <w:gridCol w:w="211"/>
        <w:gridCol w:w="146"/>
        <w:gridCol w:w="146"/>
        <w:gridCol w:w="146"/>
        <w:gridCol w:w="146"/>
        <w:gridCol w:w="146"/>
      </w:tblGrid>
      <w:tr w:rsidR="00DA70D9" w:rsidRPr="00DA70D9" w:rsidTr="0043653E">
        <w:trPr>
          <w:trHeight w:val="300"/>
        </w:trPr>
        <w:tc>
          <w:tcPr>
            <w:tcW w:w="589" w:type="dxa"/>
            <w:tcBorders>
              <w:top w:val="nil"/>
              <w:left w:val="nil"/>
              <w:bottom w:val="nil"/>
              <w:right w:val="nil"/>
            </w:tcBorders>
            <w:shd w:val="clear" w:color="auto" w:fill="auto"/>
            <w:noWrap/>
            <w:vAlign w:val="bottom"/>
            <w:hideMark/>
          </w:tcPr>
          <w:p w:rsidR="00AF7235" w:rsidRPr="00DA70D9" w:rsidRDefault="00AF7235" w:rsidP="00AF7235">
            <w:pPr>
              <w:rPr>
                <w:rFonts w:ascii="Verdana" w:eastAsia="Times New Roman" w:hAnsi="Verdana" w:cs="Times New Roman"/>
                <w:color w:val="000000"/>
                <w:sz w:val="20"/>
                <w:szCs w:val="20"/>
                <w:lang w:val="es-MX" w:eastAsia="es-MX"/>
              </w:rPr>
            </w:pPr>
          </w:p>
        </w:tc>
        <w:tc>
          <w:tcPr>
            <w:tcW w:w="6063" w:type="dxa"/>
            <w:tcBorders>
              <w:top w:val="nil"/>
              <w:left w:val="nil"/>
              <w:bottom w:val="nil"/>
              <w:right w:val="nil"/>
            </w:tcBorders>
            <w:shd w:val="clear" w:color="auto" w:fill="auto"/>
            <w:noWrap/>
            <w:vAlign w:val="bottom"/>
            <w:hideMark/>
          </w:tcPr>
          <w:p w:rsidR="00DA70D9" w:rsidRPr="00DA70D9" w:rsidRDefault="00DA70D9" w:rsidP="00DA70D9">
            <w:pPr>
              <w:spacing w:after="0" w:line="240" w:lineRule="auto"/>
              <w:rPr>
                <w:rFonts w:ascii="Verdana" w:eastAsia="Times New Roman" w:hAnsi="Verdana" w:cs="Times New Roman"/>
                <w:color w:val="000000"/>
                <w:sz w:val="20"/>
                <w:szCs w:val="20"/>
                <w:lang w:val="es-MX" w:eastAsia="es-MX"/>
              </w:rPr>
            </w:pPr>
          </w:p>
        </w:tc>
        <w:tc>
          <w:tcPr>
            <w:tcW w:w="211" w:type="dxa"/>
            <w:tcBorders>
              <w:top w:val="nil"/>
              <w:left w:val="nil"/>
              <w:bottom w:val="nil"/>
              <w:right w:val="nil"/>
            </w:tcBorders>
            <w:shd w:val="clear" w:color="auto" w:fill="auto"/>
            <w:noWrap/>
            <w:vAlign w:val="bottom"/>
            <w:hideMark/>
          </w:tcPr>
          <w:p w:rsidR="00DA70D9" w:rsidRPr="00DA70D9" w:rsidRDefault="00DA70D9" w:rsidP="00DA70D9">
            <w:pPr>
              <w:spacing w:after="0" w:line="240" w:lineRule="auto"/>
              <w:rPr>
                <w:rFonts w:ascii="Verdana" w:eastAsia="Times New Roman" w:hAnsi="Verdana" w:cs="Times New Roman"/>
                <w:color w:val="000000"/>
                <w:sz w:val="20"/>
                <w:szCs w:val="20"/>
                <w:lang w:val="es-MX" w:eastAsia="es-MX"/>
              </w:rPr>
            </w:pPr>
          </w:p>
        </w:tc>
        <w:tc>
          <w:tcPr>
            <w:tcW w:w="651" w:type="dxa"/>
            <w:tcBorders>
              <w:top w:val="nil"/>
              <w:left w:val="nil"/>
              <w:bottom w:val="nil"/>
              <w:right w:val="nil"/>
            </w:tcBorders>
            <w:shd w:val="clear" w:color="auto" w:fill="auto"/>
            <w:noWrap/>
            <w:vAlign w:val="bottom"/>
            <w:hideMark/>
          </w:tcPr>
          <w:p w:rsidR="00DA70D9" w:rsidRPr="00DA70D9" w:rsidRDefault="00DA70D9" w:rsidP="00DA70D9">
            <w:pPr>
              <w:spacing w:after="0" w:line="240" w:lineRule="auto"/>
              <w:rPr>
                <w:rFonts w:ascii="Verdana" w:eastAsia="Times New Roman" w:hAnsi="Verdana" w:cs="Times New Roman"/>
                <w:color w:val="000000"/>
                <w:sz w:val="20"/>
                <w:szCs w:val="20"/>
                <w:lang w:val="es-MX" w:eastAsia="es-MX"/>
              </w:rPr>
            </w:pPr>
          </w:p>
        </w:tc>
        <w:tc>
          <w:tcPr>
            <w:tcW w:w="168" w:type="dxa"/>
            <w:tcBorders>
              <w:top w:val="nil"/>
              <w:left w:val="nil"/>
              <w:bottom w:val="nil"/>
              <w:right w:val="nil"/>
            </w:tcBorders>
            <w:shd w:val="clear" w:color="auto" w:fill="auto"/>
            <w:noWrap/>
            <w:vAlign w:val="bottom"/>
            <w:hideMark/>
          </w:tcPr>
          <w:p w:rsidR="00DA70D9" w:rsidRPr="00DA70D9" w:rsidRDefault="00DA70D9" w:rsidP="00DA70D9">
            <w:pPr>
              <w:spacing w:after="0" w:line="240" w:lineRule="auto"/>
              <w:rPr>
                <w:rFonts w:ascii="Verdana" w:eastAsia="Times New Roman" w:hAnsi="Verdana" w:cs="Times New Roman"/>
                <w:color w:val="000000"/>
                <w:sz w:val="20"/>
                <w:szCs w:val="20"/>
                <w:lang w:val="es-MX" w:eastAsia="es-MX"/>
              </w:rPr>
            </w:pPr>
          </w:p>
        </w:tc>
        <w:tc>
          <w:tcPr>
            <w:tcW w:w="980" w:type="dxa"/>
            <w:tcBorders>
              <w:top w:val="nil"/>
              <w:left w:val="nil"/>
              <w:bottom w:val="nil"/>
              <w:right w:val="nil"/>
            </w:tcBorders>
            <w:shd w:val="clear" w:color="auto" w:fill="auto"/>
            <w:noWrap/>
            <w:vAlign w:val="bottom"/>
            <w:hideMark/>
          </w:tcPr>
          <w:p w:rsidR="00DA70D9" w:rsidRPr="00DA70D9" w:rsidRDefault="00DA70D9" w:rsidP="00DA70D9">
            <w:pPr>
              <w:spacing w:after="0" w:line="240" w:lineRule="auto"/>
              <w:rPr>
                <w:rFonts w:ascii="Verdana" w:eastAsia="Times New Roman" w:hAnsi="Verdana" w:cs="Times New Roman"/>
                <w:color w:val="000000"/>
                <w:sz w:val="20"/>
                <w:szCs w:val="20"/>
                <w:lang w:val="es-MX" w:eastAsia="es-MX"/>
              </w:rPr>
            </w:pPr>
          </w:p>
        </w:tc>
        <w:tc>
          <w:tcPr>
            <w:tcW w:w="249" w:type="dxa"/>
            <w:tcBorders>
              <w:top w:val="nil"/>
              <w:left w:val="nil"/>
              <w:bottom w:val="nil"/>
              <w:right w:val="nil"/>
            </w:tcBorders>
            <w:shd w:val="clear" w:color="auto" w:fill="auto"/>
            <w:noWrap/>
            <w:vAlign w:val="bottom"/>
            <w:hideMark/>
          </w:tcPr>
          <w:p w:rsidR="00DA70D9" w:rsidRPr="00DA70D9" w:rsidRDefault="00DA70D9" w:rsidP="00DA70D9">
            <w:pPr>
              <w:spacing w:after="0" w:line="240" w:lineRule="auto"/>
              <w:rPr>
                <w:rFonts w:ascii="Verdana" w:eastAsia="Times New Roman" w:hAnsi="Verdana" w:cs="Times New Roman"/>
                <w:color w:val="000000"/>
                <w:sz w:val="20"/>
                <w:szCs w:val="20"/>
                <w:lang w:val="es-MX" w:eastAsia="es-MX"/>
              </w:rPr>
            </w:pPr>
          </w:p>
        </w:tc>
        <w:tc>
          <w:tcPr>
            <w:tcW w:w="146" w:type="dxa"/>
            <w:tcBorders>
              <w:top w:val="nil"/>
              <w:left w:val="nil"/>
              <w:bottom w:val="nil"/>
              <w:right w:val="nil"/>
            </w:tcBorders>
            <w:shd w:val="clear" w:color="auto" w:fill="auto"/>
            <w:noWrap/>
            <w:vAlign w:val="bottom"/>
            <w:hideMark/>
          </w:tcPr>
          <w:p w:rsidR="00DA70D9" w:rsidRPr="00DA70D9" w:rsidRDefault="00DA70D9" w:rsidP="00DA70D9">
            <w:pPr>
              <w:spacing w:after="0" w:line="240" w:lineRule="auto"/>
              <w:rPr>
                <w:rFonts w:ascii="Verdana" w:eastAsia="Times New Roman" w:hAnsi="Verdana" w:cs="Times New Roman"/>
                <w:color w:val="000000"/>
                <w:sz w:val="20"/>
                <w:szCs w:val="20"/>
                <w:lang w:val="es-MX" w:eastAsia="es-MX"/>
              </w:rPr>
            </w:pPr>
          </w:p>
        </w:tc>
        <w:tc>
          <w:tcPr>
            <w:tcW w:w="788" w:type="dxa"/>
            <w:tcBorders>
              <w:top w:val="nil"/>
              <w:left w:val="nil"/>
              <w:bottom w:val="nil"/>
              <w:right w:val="nil"/>
            </w:tcBorders>
            <w:shd w:val="clear" w:color="auto" w:fill="auto"/>
            <w:noWrap/>
            <w:vAlign w:val="bottom"/>
            <w:hideMark/>
          </w:tcPr>
          <w:p w:rsidR="00DA70D9" w:rsidRPr="00DA70D9" w:rsidRDefault="00DA70D9" w:rsidP="00DA70D9">
            <w:pPr>
              <w:spacing w:after="0" w:line="240" w:lineRule="auto"/>
              <w:rPr>
                <w:rFonts w:ascii="Verdana" w:eastAsia="Times New Roman" w:hAnsi="Verdana" w:cs="Times New Roman"/>
                <w:color w:val="000000"/>
                <w:sz w:val="20"/>
                <w:szCs w:val="20"/>
                <w:lang w:val="es-MX" w:eastAsia="es-MX"/>
              </w:rPr>
            </w:pPr>
          </w:p>
        </w:tc>
        <w:tc>
          <w:tcPr>
            <w:tcW w:w="211" w:type="dxa"/>
            <w:tcBorders>
              <w:top w:val="nil"/>
              <w:left w:val="nil"/>
              <w:bottom w:val="nil"/>
              <w:right w:val="nil"/>
            </w:tcBorders>
            <w:shd w:val="clear" w:color="auto" w:fill="auto"/>
            <w:noWrap/>
            <w:vAlign w:val="bottom"/>
            <w:hideMark/>
          </w:tcPr>
          <w:p w:rsidR="00DA70D9" w:rsidRPr="00DA70D9" w:rsidRDefault="00DA70D9" w:rsidP="00DA70D9">
            <w:pPr>
              <w:spacing w:after="0" w:line="240" w:lineRule="auto"/>
              <w:rPr>
                <w:rFonts w:ascii="Verdana" w:eastAsia="Times New Roman" w:hAnsi="Verdana" w:cs="Times New Roman"/>
                <w:color w:val="000000"/>
                <w:sz w:val="20"/>
                <w:szCs w:val="20"/>
                <w:lang w:val="es-MX" w:eastAsia="es-MX"/>
              </w:rPr>
            </w:pPr>
          </w:p>
        </w:tc>
        <w:tc>
          <w:tcPr>
            <w:tcW w:w="146" w:type="dxa"/>
            <w:tcBorders>
              <w:top w:val="nil"/>
              <w:left w:val="nil"/>
              <w:bottom w:val="nil"/>
              <w:right w:val="nil"/>
            </w:tcBorders>
            <w:shd w:val="clear" w:color="auto" w:fill="auto"/>
            <w:noWrap/>
            <w:vAlign w:val="bottom"/>
            <w:hideMark/>
          </w:tcPr>
          <w:p w:rsidR="00DA70D9" w:rsidRPr="00DA70D9" w:rsidRDefault="00DA70D9" w:rsidP="00DA70D9">
            <w:pPr>
              <w:spacing w:after="0" w:line="240" w:lineRule="auto"/>
              <w:rPr>
                <w:rFonts w:ascii="Verdana" w:eastAsia="Times New Roman" w:hAnsi="Verdana" w:cs="Times New Roman"/>
                <w:color w:val="000000"/>
                <w:sz w:val="20"/>
                <w:szCs w:val="20"/>
                <w:lang w:val="es-MX" w:eastAsia="es-MX"/>
              </w:rPr>
            </w:pPr>
          </w:p>
        </w:tc>
        <w:tc>
          <w:tcPr>
            <w:tcW w:w="146" w:type="dxa"/>
            <w:tcBorders>
              <w:top w:val="nil"/>
              <w:left w:val="nil"/>
              <w:bottom w:val="nil"/>
              <w:right w:val="nil"/>
            </w:tcBorders>
            <w:shd w:val="clear" w:color="auto" w:fill="auto"/>
            <w:noWrap/>
            <w:vAlign w:val="bottom"/>
            <w:hideMark/>
          </w:tcPr>
          <w:p w:rsidR="00DA70D9" w:rsidRPr="00DA70D9" w:rsidRDefault="00DA70D9" w:rsidP="00DA70D9">
            <w:pPr>
              <w:spacing w:after="0" w:line="240" w:lineRule="auto"/>
              <w:rPr>
                <w:rFonts w:ascii="Verdana" w:eastAsia="Times New Roman" w:hAnsi="Verdana" w:cs="Times New Roman"/>
                <w:color w:val="000000"/>
                <w:sz w:val="20"/>
                <w:szCs w:val="20"/>
                <w:lang w:val="es-MX" w:eastAsia="es-MX"/>
              </w:rPr>
            </w:pPr>
          </w:p>
        </w:tc>
        <w:tc>
          <w:tcPr>
            <w:tcW w:w="146" w:type="dxa"/>
            <w:tcBorders>
              <w:top w:val="nil"/>
              <w:left w:val="nil"/>
              <w:bottom w:val="nil"/>
              <w:right w:val="nil"/>
            </w:tcBorders>
            <w:shd w:val="clear" w:color="auto" w:fill="auto"/>
            <w:noWrap/>
            <w:vAlign w:val="bottom"/>
            <w:hideMark/>
          </w:tcPr>
          <w:p w:rsidR="00DA70D9" w:rsidRPr="00DA70D9" w:rsidRDefault="00DA70D9" w:rsidP="00DA70D9">
            <w:pPr>
              <w:spacing w:after="0" w:line="240" w:lineRule="auto"/>
              <w:rPr>
                <w:rFonts w:ascii="Verdana" w:eastAsia="Times New Roman" w:hAnsi="Verdana" w:cs="Times New Roman"/>
                <w:color w:val="000000"/>
                <w:sz w:val="20"/>
                <w:szCs w:val="20"/>
                <w:lang w:val="es-MX" w:eastAsia="es-MX"/>
              </w:rPr>
            </w:pPr>
          </w:p>
        </w:tc>
        <w:tc>
          <w:tcPr>
            <w:tcW w:w="146" w:type="dxa"/>
            <w:tcBorders>
              <w:top w:val="nil"/>
              <w:left w:val="nil"/>
              <w:bottom w:val="nil"/>
              <w:right w:val="nil"/>
            </w:tcBorders>
            <w:shd w:val="clear" w:color="auto" w:fill="auto"/>
            <w:noWrap/>
            <w:vAlign w:val="bottom"/>
            <w:hideMark/>
          </w:tcPr>
          <w:p w:rsidR="00DA70D9" w:rsidRPr="00DA70D9" w:rsidRDefault="00DA70D9" w:rsidP="00DA70D9">
            <w:pPr>
              <w:spacing w:after="0" w:line="240" w:lineRule="auto"/>
              <w:rPr>
                <w:rFonts w:ascii="Verdana" w:eastAsia="Times New Roman" w:hAnsi="Verdana" w:cs="Times New Roman"/>
                <w:color w:val="000000"/>
                <w:sz w:val="20"/>
                <w:szCs w:val="20"/>
                <w:lang w:val="es-MX" w:eastAsia="es-MX"/>
              </w:rPr>
            </w:pPr>
          </w:p>
        </w:tc>
        <w:tc>
          <w:tcPr>
            <w:tcW w:w="146" w:type="dxa"/>
            <w:tcBorders>
              <w:top w:val="nil"/>
              <w:left w:val="nil"/>
              <w:bottom w:val="nil"/>
              <w:right w:val="nil"/>
            </w:tcBorders>
            <w:shd w:val="clear" w:color="auto" w:fill="auto"/>
            <w:noWrap/>
            <w:vAlign w:val="bottom"/>
            <w:hideMark/>
          </w:tcPr>
          <w:p w:rsidR="00DA70D9" w:rsidRPr="00DA70D9" w:rsidRDefault="00DA70D9" w:rsidP="00DA70D9">
            <w:pPr>
              <w:spacing w:after="0" w:line="240" w:lineRule="auto"/>
              <w:rPr>
                <w:rFonts w:ascii="Verdana" w:eastAsia="Times New Roman" w:hAnsi="Verdana" w:cs="Times New Roman"/>
                <w:color w:val="000000"/>
                <w:sz w:val="20"/>
                <w:szCs w:val="20"/>
                <w:lang w:val="es-MX" w:eastAsia="es-MX"/>
              </w:rPr>
            </w:pPr>
          </w:p>
        </w:tc>
      </w:tr>
    </w:tbl>
    <w:p w:rsidR="00FF038A" w:rsidRPr="009A44E2" w:rsidRDefault="00FF038A" w:rsidP="00FF038A">
      <w:pPr>
        <w:tabs>
          <w:tab w:val="left" w:pos="8789"/>
        </w:tabs>
        <w:spacing w:after="0" w:line="240" w:lineRule="auto"/>
        <w:ind w:right="49"/>
        <w:jc w:val="both"/>
        <w:rPr>
          <w:rFonts w:ascii="Times New Roman" w:hAnsi="Times New Roman"/>
          <w:b/>
          <w:sz w:val="24"/>
          <w:szCs w:val="24"/>
        </w:rPr>
      </w:pPr>
      <w:r w:rsidRPr="009A44E2">
        <w:rPr>
          <w:rFonts w:ascii="Times New Roman" w:hAnsi="Times New Roman"/>
          <w:b/>
          <w:sz w:val="24"/>
          <w:szCs w:val="24"/>
        </w:rPr>
        <w:t xml:space="preserve">Anexo 3.- Componente 3: Ambientes de Aprendizaje </w:t>
      </w:r>
      <w:r w:rsidR="00C953D1">
        <w:rPr>
          <w:rFonts w:ascii="Times New Roman" w:hAnsi="Times New Roman"/>
          <w:b/>
          <w:sz w:val="24"/>
          <w:szCs w:val="24"/>
        </w:rPr>
        <w:t xml:space="preserve">Aulas </w:t>
      </w:r>
      <w:r w:rsidRPr="009A44E2">
        <w:rPr>
          <w:rFonts w:ascii="Times New Roman" w:hAnsi="Times New Roman"/>
          <w:b/>
          <w:sz w:val="24"/>
          <w:szCs w:val="24"/>
        </w:rPr>
        <w:t>(C3-SP)</w:t>
      </w:r>
    </w:p>
    <w:p w:rsidR="00F47BC9" w:rsidRDefault="00F47BC9" w:rsidP="00FF038A">
      <w:pPr>
        <w:tabs>
          <w:tab w:val="left" w:pos="8789"/>
        </w:tabs>
        <w:spacing w:after="0" w:line="240" w:lineRule="auto"/>
        <w:ind w:right="49"/>
        <w:jc w:val="both"/>
        <w:rPr>
          <w:rFonts w:ascii="Times New Roman" w:hAnsi="Times New Roman"/>
          <w:sz w:val="24"/>
          <w:szCs w:val="24"/>
        </w:rPr>
      </w:pPr>
    </w:p>
    <w:p w:rsidR="00F47BC9" w:rsidRDefault="00F47BC9" w:rsidP="00FF038A">
      <w:pPr>
        <w:tabs>
          <w:tab w:val="left" w:pos="8789"/>
        </w:tabs>
        <w:spacing w:after="0" w:line="240" w:lineRule="auto"/>
        <w:ind w:right="49"/>
        <w:jc w:val="both"/>
        <w:rPr>
          <w:rFonts w:ascii="Times New Roman" w:hAnsi="Times New Roman"/>
          <w:sz w:val="24"/>
          <w:szCs w:val="24"/>
        </w:rPr>
      </w:pPr>
      <w:r>
        <w:rPr>
          <w:noProof/>
        </w:rPr>
        <w:drawing>
          <wp:inline distT="0" distB="0" distL="0" distR="0">
            <wp:extent cx="6296025" cy="38385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998" t="12234" r="1235" b="9970"/>
                    <a:stretch/>
                  </pic:blipFill>
                  <pic:spPr bwMode="auto">
                    <a:xfrm>
                      <a:off x="0" y="0"/>
                      <a:ext cx="6296025" cy="3838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C0121" w:rsidRPr="00A216AB" w:rsidRDefault="009C0121" w:rsidP="00FF038A">
      <w:pPr>
        <w:tabs>
          <w:tab w:val="left" w:pos="8789"/>
        </w:tabs>
        <w:spacing w:after="0" w:line="240" w:lineRule="auto"/>
        <w:ind w:right="49"/>
        <w:jc w:val="both"/>
        <w:rPr>
          <w:rFonts w:ascii="Times New Roman" w:hAnsi="Times New Roman"/>
          <w:sz w:val="24"/>
          <w:szCs w:val="24"/>
        </w:rPr>
      </w:pPr>
    </w:p>
    <w:p w:rsidR="00C953D1" w:rsidRDefault="00C953D1" w:rsidP="00C953D1">
      <w:pPr>
        <w:tabs>
          <w:tab w:val="left" w:pos="8789"/>
        </w:tabs>
        <w:spacing w:after="0" w:line="240" w:lineRule="auto"/>
        <w:ind w:right="49"/>
        <w:jc w:val="both"/>
        <w:rPr>
          <w:rFonts w:ascii="Times New Roman" w:hAnsi="Times New Roman"/>
          <w:b/>
          <w:sz w:val="24"/>
          <w:szCs w:val="24"/>
        </w:rPr>
      </w:pPr>
    </w:p>
    <w:p w:rsidR="00C953D1" w:rsidRPr="009A44E2" w:rsidRDefault="00C953D1" w:rsidP="00C953D1">
      <w:pPr>
        <w:tabs>
          <w:tab w:val="left" w:pos="8789"/>
        </w:tabs>
        <w:spacing w:after="0" w:line="240" w:lineRule="auto"/>
        <w:ind w:right="49"/>
        <w:jc w:val="both"/>
        <w:rPr>
          <w:rFonts w:ascii="Times New Roman" w:hAnsi="Times New Roman"/>
          <w:b/>
          <w:sz w:val="24"/>
          <w:szCs w:val="24"/>
        </w:rPr>
      </w:pPr>
      <w:r w:rsidRPr="009A44E2">
        <w:rPr>
          <w:rFonts w:ascii="Times New Roman" w:hAnsi="Times New Roman"/>
          <w:b/>
          <w:sz w:val="24"/>
          <w:szCs w:val="24"/>
        </w:rPr>
        <w:t xml:space="preserve">Anexo </w:t>
      </w:r>
      <w:r w:rsidR="004C6AC2">
        <w:rPr>
          <w:rFonts w:ascii="Times New Roman" w:hAnsi="Times New Roman"/>
          <w:b/>
          <w:sz w:val="24"/>
          <w:szCs w:val="24"/>
        </w:rPr>
        <w:t>4</w:t>
      </w:r>
      <w:r w:rsidRPr="009A44E2">
        <w:rPr>
          <w:rFonts w:ascii="Times New Roman" w:hAnsi="Times New Roman"/>
          <w:b/>
          <w:sz w:val="24"/>
          <w:szCs w:val="24"/>
        </w:rPr>
        <w:t xml:space="preserve">.- Componente 3: Ambientes de Aprendizaje </w:t>
      </w:r>
      <w:r>
        <w:rPr>
          <w:rFonts w:ascii="Times New Roman" w:hAnsi="Times New Roman"/>
          <w:b/>
          <w:sz w:val="24"/>
          <w:szCs w:val="24"/>
        </w:rPr>
        <w:t xml:space="preserve">Laboratorios </w:t>
      </w:r>
      <w:r w:rsidRPr="009A44E2">
        <w:rPr>
          <w:rFonts w:ascii="Times New Roman" w:hAnsi="Times New Roman"/>
          <w:b/>
          <w:sz w:val="24"/>
          <w:szCs w:val="24"/>
        </w:rPr>
        <w:t>(C</w:t>
      </w:r>
      <w:r w:rsidR="00AF7235">
        <w:rPr>
          <w:rFonts w:ascii="Times New Roman" w:hAnsi="Times New Roman"/>
          <w:b/>
          <w:sz w:val="24"/>
          <w:szCs w:val="24"/>
        </w:rPr>
        <w:t>4</w:t>
      </w:r>
      <w:r w:rsidRPr="009A44E2">
        <w:rPr>
          <w:rFonts w:ascii="Times New Roman" w:hAnsi="Times New Roman"/>
          <w:b/>
          <w:sz w:val="24"/>
          <w:szCs w:val="24"/>
        </w:rPr>
        <w:t>-SP)</w:t>
      </w:r>
    </w:p>
    <w:p w:rsidR="00FF038A" w:rsidRDefault="00FF038A" w:rsidP="00FF038A">
      <w:pPr>
        <w:tabs>
          <w:tab w:val="left" w:pos="8789"/>
        </w:tabs>
        <w:spacing w:after="0" w:line="240" w:lineRule="auto"/>
        <w:ind w:right="49"/>
        <w:jc w:val="both"/>
        <w:rPr>
          <w:rFonts w:ascii="Times New Roman" w:hAnsi="Times New Roman"/>
          <w:sz w:val="24"/>
          <w:szCs w:val="24"/>
        </w:rPr>
      </w:pPr>
    </w:p>
    <w:p w:rsidR="00C953D1" w:rsidRPr="00A216AB" w:rsidRDefault="00C953D1" w:rsidP="00FF038A">
      <w:pPr>
        <w:tabs>
          <w:tab w:val="left" w:pos="8789"/>
        </w:tabs>
        <w:spacing w:after="0" w:line="240" w:lineRule="auto"/>
        <w:ind w:right="49"/>
        <w:jc w:val="both"/>
        <w:rPr>
          <w:rFonts w:ascii="Times New Roman" w:hAnsi="Times New Roman"/>
          <w:sz w:val="24"/>
          <w:szCs w:val="24"/>
        </w:rPr>
      </w:pPr>
      <w:r>
        <w:rPr>
          <w:noProof/>
        </w:rPr>
        <w:drawing>
          <wp:inline distT="0" distB="0" distL="0" distR="0">
            <wp:extent cx="6291109" cy="30003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231" t="12548" r="1059" b="9657"/>
                    <a:stretch/>
                  </pic:blipFill>
                  <pic:spPr bwMode="auto">
                    <a:xfrm>
                      <a:off x="0" y="0"/>
                      <a:ext cx="6290370" cy="30000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F038A" w:rsidRDefault="00FF038A" w:rsidP="00FF038A">
      <w:pPr>
        <w:tabs>
          <w:tab w:val="left" w:pos="8789"/>
        </w:tabs>
        <w:spacing w:after="0" w:line="240" w:lineRule="auto"/>
        <w:ind w:right="49"/>
        <w:jc w:val="both"/>
        <w:rPr>
          <w:noProof/>
          <w:szCs w:val="24"/>
          <w:lang w:val="es-MX" w:eastAsia="es-MX"/>
        </w:rPr>
      </w:pPr>
    </w:p>
    <w:p w:rsidR="00C953D1" w:rsidRDefault="00C953D1" w:rsidP="00FF038A">
      <w:pPr>
        <w:tabs>
          <w:tab w:val="left" w:pos="8789"/>
        </w:tabs>
        <w:spacing w:after="0" w:line="240" w:lineRule="auto"/>
        <w:ind w:right="49"/>
        <w:jc w:val="both"/>
        <w:rPr>
          <w:noProof/>
          <w:szCs w:val="24"/>
          <w:lang w:val="es-MX" w:eastAsia="es-MX"/>
        </w:rPr>
      </w:pPr>
    </w:p>
    <w:p w:rsidR="00C953D1" w:rsidRDefault="00C953D1" w:rsidP="00FF038A">
      <w:pPr>
        <w:tabs>
          <w:tab w:val="left" w:pos="8789"/>
        </w:tabs>
        <w:spacing w:after="0" w:line="240" w:lineRule="auto"/>
        <w:ind w:right="49"/>
        <w:jc w:val="both"/>
        <w:rPr>
          <w:noProof/>
          <w:szCs w:val="24"/>
          <w:lang w:val="es-MX" w:eastAsia="es-MX"/>
        </w:rPr>
      </w:pPr>
    </w:p>
    <w:p w:rsidR="00C953D1" w:rsidRDefault="00C953D1" w:rsidP="00FF038A">
      <w:pPr>
        <w:tabs>
          <w:tab w:val="left" w:pos="8789"/>
        </w:tabs>
        <w:spacing w:after="0" w:line="240" w:lineRule="auto"/>
        <w:ind w:right="49"/>
        <w:jc w:val="both"/>
        <w:rPr>
          <w:noProof/>
          <w:szCs w:val="24"/>
          <w:lang w:val="es-MX" w:eastAsia="es-MX"/>
        </w:rPr>
      </w:pPr>
    </w:p>
    <w:p w:rsidR="00C953D1" w:rsidRDefault="00C953D1" w:rsidP="00FF038A">
      <w:pPr>
        <w:tabs>
          <w:tab w:val="left" w:pos="8789"/>
        </w:tabs>
        <w:spacing w:after="0" w:line="240" w:lineRule="auto"/>
        <w:ind w:right="49"/>
        <w:jc w:val="both"/>
        <w:rPr>
          <w:noProof/>
          <w:szCs w:val="24"/>
          <w:lang w:val="es-MX" w:eastAsia="es-MX"/>
        </w:rPr>
      </w:pPr>
    </w:p>
    <w:p w:rsidR="004C6AC2" w:rsidRPr="009A44E2" w:rsidRDefault="004C6AC2" w:rsidP="004C6AC2">
      <w:pPr>
        <w:tabs>
          <w:tab w:val="left" w:pos="8789"/>
        </w:tabs>
        <w:spacing w:after="0" w:line="240" w:lineRule="auto"/>
        <w:ind w:right="49"/>
        <w:jc w:val="both"/>
        <w:rPr>
          <w:rFonts w:ascii="Times New Roman" w:hAnsi="Times New Roman"/>
          <w:b/>
          <w:sz w:val="24"/>
          <w:szCs w:val="24"/>
        </w:rPr>
      </w:pPr>
      <w:r w:rsidRPr="009A44E2">
        <w:rPr>
          <w:rFonts w:ascii="Times New Roman" w:hAnsi="Times New Roman"/>
          <w:b/>
          <w:sz w:val="24"/>
          <w:szCs w:val="24"/>
        </w:rPr>
        <w:t xml:space="preserve">Anexo </w:t>
      </w:r>
      <w:r>
        <w:rPr>
          <w:rFonts w:ascii="Times New Roman" w:hAnsi="Times New Roman"/>
          <w:b/>
          <w:sz w:val="24"/>
          <w:szCs w:val="24"/>
        </w:rPr>
        <w:t>5</w:t>
      </w:r>
      <w:r w:rsidRPr="009A44E2">
        <w:rPr>
          <w:rFonts w:ascii="Times New Roman" w:hAnsi="Times New Roman"/>
          <w:b/>
          <w:sz w:val="24"/>
          <w:szCs w:val="24"/>
        </w:rPr>
        <w:t xml:space="preserve">.- Componente 3: Ambientes de Aprendizaje </w:t>
      </w:r>
      <w:r>
        <w:rPr>
          <w:rFonts w:ascii="Times New Roman" w:hAnsi="Times New Roman"/>
          <w:b/>
          <w:sz w:val="24"/>
          <w:szCs w:val="24"/>
        </w:rPr>
        <w:t xml:space="preserve">Espacios - Biblioteca </w:t>
      </w:r>
      <w:r w:rsidRPr="009A44E2">
        <w:rPr>
          <w:rFonts w:ascii="Times New Roman" w:hAnsi="Times New Roman"/>
          <w:b/>
          <w:sz w:val="24"/>
          <w:szCs w:val="24"/>
        </w:rPr>
        <w:t>(C</w:t>
      </w:r>
      <w:r w:rsidR="00F75B36">
        <w:rPr>
          <w:rFonts w:ascii="Times New Roman" w:hAnsi="Times New Roman"/>
          <w:b/>
          <w:sz w:val="24"/>
          <w:szCs w:val="24"/>
        </w:rPr>
        <w:t>5</w:t>
      </w:r>
      <w:r w:rsidRPr="009A44E2">
        <w:rPr>
          <w:rFonts w:ascii="Times New Roman" w:hAnsi="Times New Roman"/>
          <w:b/>
          <w:sz w:val="24"/>
          <w:szCs w:val="24"/>
        </w:rPr>
        <w:t>-SP)</w:t>
      </w:r>
    </w:p>
    <w:p w:rsidR="00C953D1" w:rsidRPr="004C6AC2" w:rsidRDefault="00C953D1" w:rsidP="00FF038A">
      <w:pPr>
        <w:tabs>
          <w:tab w:val="left" w:pos="8789"/>
        </w:tabs>
        <w:spacing w:after="0" w:line="240" w:lineRule="auto"/>
        <w:ind w:right="49"/>
        <w:jc w:val="both"/>
        <w:rPr>
          <w:noProof/>
          <w:szCs w:val="24"/>
          <w:lang w:eastAsia="es-MX"/>
        </w:rPr>
      </w:pPr>
    </w:p>
    <w:p w:rsidR="004823A7" w:rsidRDefault="004C6AC2" w:rsidP="004823A7">
      <w:pPr>
        <w:tabs>
          <w:tab w:val="left" w:pos="8789"/>
        </w:tabs>
        <w:spacing w:after="0" w:line="240" w:lineRule="auto"/>
        <w:ind w:right="49"/>
        <w:jc w:val="both"/>
        <w:rPr>
          <w:noProof/>
          <w:szCs w:val="24"/>
          <w:lang w:val="es-MX" w:eastAsia="es-MX"/>
        </w:rPr>
      </w:pPr>
      <w:r>
        <w:rPr>
          <w:noProof/>
        </w:rPr>
        <w:drawing>
          <wp:inline distT="0" distB="0" distL="0" distR="0">
            <wp:extent cx="6067425" cy="36758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054" t="11920" r="20459" b="9971"/>
                    <a:stretch/>
                  </pic:blipFill>
                  <pic:spPr bwMode="auto">
                    <a:xfrm>
                      <a:off x="0" y="0"/>
                      <a:ext cx="6066712" cy="36754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823A7" w:rsidRDefault="004823A7" w:rsidP="004823A7">
      <w:pPr>
        <w:tabs>
          <w:tab w:val="left" w:pos="8789"/>
        </w:tabs>
        <w:spacing w:after="0" w:line="240" w:lineRule="auto"/>
        <w:ind w:right="49"/>
        <w:jc w:val="both"/>
        <w:rPr>
          <w:noProof/>
          <w:szCs w:val="24"/>
          <w:lang w:val="es-MX" w:eastAsia="es-MX"/>
        </w:rPr>
      </w:pPr>
    </w:p>
    <w:p w:rsidR="004823A7" w:rsidRDefault="004823A7" w:rsidP="004823A7">
      <w:pPr>
        <w:tabs>
          <w:tab w:val="left" w:pos="8789"/>
        </w:tabs>
        <w:spacing w:after="0" w:line="240" w:lineRule="auto"/>
        <w:ind w:right="49"/>
        <w:jc w:val="both"/>
        <w:rPr>
          <w:noProof/>
          <w:szCs w:val="24"/>
          <w:lang w:val="es-MX" w:eastAsia="es-MX"/>
        </w:rPr>
      </w:pPr>
    </w:p>
    <w:p w:rsidR="004823A7" w:rsidRDefault="004823A7" w:rsidP="004823A7">
      <w:pPr>
        <w:tabs>
          <w:tab w:val="left" w:pos="8789"/>
        </w:tabs>
        <w:spacing w:after="0" w:line="240" w:lineRule="auto"/>
        <w:ind w:right="49"/>
        <w:jc w:val="both"/>
        <w:rPr>
          <w:rFonts w:ascii="Times New Roman" w:hAnsi="Times New Roman"/>
          <w:b/>
          <w:sz w:val="24"/>
          <w:szCs w:val="24"/>
        </w:rPr>
      </w:pPr>
      <w:r w:rsidRPr="009A44E2">
        <w:rPr>
          <w:rFonts w:ascii="Times New Roman" w:hAnsi="Times New Roman"/>
          <w:b/>
          <w:sz w:val="24"/>
          <w:szCs w:val="24"/>
        </w:rPr>
        <w:t xml:space="preserve">Anexo </w:t>
      </w:r>
      <w:r>
        <w:rPr>
          <w:rFonts w:ascii="Times New Roman" w:hAnsi="Times New Roman"/>
          <w:b/>
          <w:sz w:val="24"/>
          <w:szCs w:val="24"/>
        </w:rPr>
        <w:t>6</w:t>
      </w:r>
      <w:r w:rsidRPr="009A44E2">
        <w:rPr>
          <w:rFonts w:ascii="Times New Roman" w:hAnsi="Times New Roman"/>
          <w:b/>
          <w:sz w:val="24"/>
          <w:szCs w:val="24"/>
        </w:rPr>
        <w:t xml:space="preserve">.- Componente </w:t>
      </w:r>
      <w:r>
        <w:rPr>
          <w:rFonts w:ascii="Times New Roman" w:hAnsi="Times New Roman"/>
          <w:b/>
          <w:sz w:val="24"/>
          <w:szCs w:val="24"/>
        </w:rPr>
        <w:t>2</w:t>
      </w:r>
      <w:r w:rsidRPr="009A44E2">
        <w:rPr>
          <w:rFonts w:ascii="Times New Roman" w:hAnsi="Times New Roman"/>
          <w:b/>
          <w:sz w:val="24"/>
          <w:szCs w:val="24"/>
        </w:rPr>
        <w:t xml:space="preserve">: </w:t>
      </w:r>
      <w:r>
        <w:rPr>
          <w:rFonts w:ascii="Times New Roman" w:hAnsi="Times New Roman"/>
          <w:b/>
          <w:sz w:val="24"/>
          <w:szCs w:val="24"/>
        </w:rPr>
        <w:t xml:space="preserve">Administración Curricular – Enseñanza Inglés </w:t>
      </w:r>
      <w:r w:rsidRPr="009A44E2">
        <w:rPr>
          <w:rFonts w:ascii="Times New Roman" w:hAnsi="Times New Roman"/>
          <w:b/>
          <w:sz w:val="24"/>
          <w:szCs w:val="24"/>
        </w:rPr>
        <w:t>(C</w:t>
      </w:r>
      <w:r>
        <w:rPr>
          <w:rFonts w:ascii="Times New Roman" w:hAnsi="Times New Roman"/>
          <w:b/>
          <w:sz w:val="24"/>
          <w:szCs w:val="24"/>
        </w:rPr>
        <w:t>2</w:t>
      </w:r>
      <w:r w:rsidRPr="009A44E2">
        <w:rPr>
          <w:rFonts w:ascii="Times New Roman" w:hAnsi="Times New Roman"/>
          <w:b/>
          <w:sz w:val="24"/>
          <w:szCs w:val="24"/>
        </w:rPr>
        <w:t>-SP)</w:t>
      </w:r>
    </w:p>
    <w:p w:rsidR="004823A7" w:rsidRPr="004823A7" w:rsidRDefault="004823A7" w:rsidP="004823A7">
      <w:pPr>
        <w:tabs>
          <w:tab w:val="left" w:pos="8789"/>
        </w:tabs>
        <w:spacing w:after="0" w:line="240" w:lineRule="auto"/>
        <w:ind w:right="49"/>
        <w:jc w:val="both"/>
        <w:rPr>
          <w:noProof/>
          <w:szCs w:val="24"/>
          <w:lang w:val="es-MX" w:eastAsia="es-MX"/>
        </w:rPr>
      </w:pPr>
    </w:p>
    <w:p w:rsidR="004823A7" w:rsidRPr="004823A7" w:rsidRDefault="00943B86" w:rsidP="004823A7">
      <w:pPr>
        <w:tabs>
          <w:tab w:val="left" w:pos="8789"/>
        </w:tabs>
        <w:spacing w:after="0" w:line="240" w:lineRule="auto"/>
        <w:ind w:right="49"/>
        <w:jc w:val="both"/>
        <w:rPr>
          <w:rFonts w:ascii="Times New Roman" w:hAnsi="Times New Roman"/>
          <w:sz w:val="24"/>
          <w:szCs w:val="24"/>
        </w:rPr>
      </w:pPr>
      <w:r>
        <w:rPr>
          <w:noProof/>
        </w:rPr>
        <w:drawing>
          <wp:anchor distT="0" distB="0" distL="114300" distR="114300" simplePos="0" relativeHeight="251658240" behindDoc="0" locked="0" layoutInCell="1" allowOverlap="1">
            <wp:simplePos x="0" y="0"/>
            <wp:positionH relativeFrom="column">
              <wp:posOffset>-327660</wp:posOffset>
            </wp:positionH>
            <wp:positionV relativeFrom="paragraph">
              <wp:posOffset>26035</wp:posOffset>
            </wp:positionV>
            <wp:extent cx="6438900" cy="3538220"/>
            <wp:effectExtent l="0" t="0" r="0" b="508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84" t="19143" r="16256" b="4288"/>
                    <a:stretch/>
                  </pic:blipFill>
                  <pic:spPr bwMode="auto">
                    <a:xfrm>
                      <a:off x="0" y="0"/>
                      <a:ext cx="6438900" cy="35382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4360F" w:rsidRPr="00D02B5F" w:rsidRDefault="0024360F" w:rsidP="00E22DAF">
      <w:pPr>
        <w:ind w:left="360"/>
        <w:jc w:val="both"/>
        <w:rPr>
          <w:rFonts w:ascii="Verdana" w:hAnsi="Verdana"/>
          <w:sz w:val="20"/>
          <w:szCs w:val="20"/>
        </w:rPr>
      </w:pPr>
    </w:p>
    <w:p w:rsidR="0024360F" w:rsidRPr="00D02B5F" w:rsidRDefault="0024360F" w:rsidP="00EE2E29">
      <w:pPr>
        <w:jc w:val="both"/>
        <w:rPr>
          <w:rFonts w:ascii="Verdana" w:hAnsi="Verdana"/>
          <w:sz w:val="20"/>
          <w:szCs w:val="20"/>
        </w:rPr>
      </w:pPr>
    </w:p>
    <w:sectPr w:rsidR="0024360F" w:rsidRPr="00D02B5F" w:rsidSect="00CC5FEA">
      <w:headerReference w:type="default" r:id="rId17"/>
      <w:footerReference w:type="default" r:id="rId1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331B" w:rsidRDefault="001F331B" w:rsidP="00AB3DD8">
      <w:pPr>
        <w:spacing w:after="0" w:line="240" w:lineRule="auto"/>
      </w:pPr>
      <w:r>
        <w:separator/>
      </w:r>
    </w:p>
  </w:endnote>
  <w:endnote w:type="continuationSeparator" w:id="1">
    <w:p w:rsidR="001F331B" w:rsidRDefault="001F331B" w:rsidP="00AB3D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841861"/>
      <w:docPartObj>
        <w:docPartGallery w:val="Page Numbers (Bottom of Page)"/>
        <w:docPartUnique/>
      </w:docPartObj>
    </w:sdtPr>
    <w:sdtContent>
      <w:p w:rsidR="004C6AC2" w:rsidRDefault="00364244">
        <w:pPr>
          <w:pStyle w:val="Piedepgina"/>
          <w:jc w:val="center"/>
        </w:pPr>
        <w:r>
          <w:fldChar w:fldCharType="begin"/>
        </w:r>
        <w:r w:rsidR="004C6AC2">
          <w:instrText xml:space="preserve"> PAGE   \* MERGEFORMAT </w:instrText>
        </w:r>
        <w:r>
          <w:fldChar w:fldCharType="separate"/>
        </w:r>
        <w:r w:rsidR="00345124">
          <w:rPr>
            <w:noProof/>
          </w:rPr>
          <w:t>10</w:t>
        </w:r>
        <w:r>
          <w:rPr>
            <w:noProof/>
          </w:rPr>
          <w:fldChar w:fldCharType="end"/>
        </w:r>
      </w:p>
    </w:sdtContent>
  </w:sdt>
  <w:p w:rsidR="004C6AC2" w:rsidRDefault="004C6AC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331B" w:rsidRDefault="001F331B" w:rsidP="00AB3DD8">
      <w:pPr>
        <w:spacing w:after="0" w:line="240" w:lineRule="auto"/>
      </w:pPr>
      <w:r>
        <w:separator/>
      </w:r>
    </w:p>
  </w:footnote>
  <w:footnote w:type="continuationSeparator" w:id="1">
    <w:p w:rsidR="001F331B" w:rsidRDefault="001F331B" w:rsidP="00AB3D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AC2" w:rsidRDefault="004C6AC2">
    <w:pPr>
      <w:pStyle w:val="Encabezado"/>
    </w:pPr>
    <w:r w:rsidRPr="00AB3DD8">
      <w:rPr>
        <w:noProof/>
      </w:rPr>
      <w:drawing>
        <wp:anchor distT="0" distB="0" distL="114300" distR="114300" simplePos="0" relativeHeight="251659264" behindDoc="1" locked="0" layoutInCell="1" allowOverlap="1">
          <wp:simplePos x="0" y="0"/>
          <wp:positionH relativeFrom="column">
            <wp:posOffset>1713920</wp:posOffset>
          </wp:positionH>
          <wp:positionV relativeFrom="paragraph">
            <wp:posOffset>-282603</wp:posOffset>
          </wp:positionV>
          <wp:extent cx="1809750" cy="604300"/>
          <wp:effectExtent l="19050" t="0" r="0" b="0"/>
          <wp:wrapNone/>
          <wp:docPr id="5" name="Imagen 1"/>
          <wp:cNvGraphicFramePr/>
          <a:graphic xmlns:a="http://schemas.openxmlformats.org/drawingml/2006/main">
            <a:graphicData uri="http://schemas.openxmlformats.org/drawingml/2006/picture">
              <pic:pic xmlns:pic="http://schemas.openxmlformats.org/drawingml/2006/picture">
                <pic:nvPicPr>
                  <pic:cNvPr id="7" name="Picture 13"/>
                  <pic:cNvPicPr>
                    <a:picLocks noChangeAspect="1" noChangeArrowheads="1"/>
                  </pic:cNvPicPr>
                </pic:nvPicPr>
                <pic:blipFill>
                  <a:blip r:embed="rId1" cstate="print"/>
                  <a:srcRect/>
                  <a:stretch>
                    <a:fillRect/>
                  </a:stretch>
                </pic:blipFill>
                <pic:spPr bwMode="auto">
                  <a:xfrm>
                    <a:off x="0" y="0"/>
                    <a:ext cx="1809750" cy="604300"/>
                  </a:xfrm>
                  <a:prstGeom prst="rect">
                    <a:avLst/>
                  </a:prstGeom>
                  <a:noFill/>
                  <a:ln w="9525">
                    <a:noFill/>
                    <a:miter lim="800000"/>
                    <a:headEnd/>
                    <a:tailEnd/>
                  </a:ln>
                  <a:effectLst/>
                </pic:spPr>
              </pic:pic>
            </a:graphicData>
          </a:graphic>
        </wp:anchor>
      </w:drawing>
    </w:r>
  </w:p>
  <w:p w:rsidR="004C6AC2" w:rsidRDefault="004C6AC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00ABE"/>
    <w:multiLevelType w:val="hybridMultilevel"/>
    <w:tmpl w:val="966E8D4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nsid w:val="0E99274A"/>
    <w:multiLevelType w:val="hybridMultilevel"/>
    <w:tmpl w:val="992E0206"/>
    <w:lvl w:ilvl="0" w:tplc="74622D0C">
      <w:start w:val="3"/>
      <w:numFmt w:val="decimal"/>
      <w:lvlText w:val="%1."/>
      <w:lvlJc w:val="left"/>
      <w:pPr>
        <w:ind w:left="720" w:hanging="360"/>
      </w:pPr>
      <w:rPr>
        <w:rFonts w:ascii="Times New Roman" w:hAnsi="Times New Roman" w:cs="Times New Roman" w:hint="default"/>
        <w:sz w:val="19"/>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F8761AC"/>
    <w:multiLevelType w:val="hybridMultilevel"/>
    <w:tmpl w:val="7FCAE7C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54E0652"/>
    <w:multiLevelType w:val="hybridMultilevel"/>
    <w:tmpl w:val="297E24B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190F1B5B"/>
    <w:multiLevelType w:val="hybridMultilevel"/>
    <w:tmpl w:val="4B00C30A"/>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1DFA31AB"/>
    <w:multiLevelType w:val="hybridMultilevel"/>
    <w:tmpl w:val="3342E78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36EF1DA6"/>
    <w:multiLevelType w:val="hybridMultilevel"/>
    <w:tmpl w:val="3EC6ADB6"/>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nsid w:val="446630E6"/>
    <w:multiLevelType w:val="hybridMultilevel"/>
    <w:tmpl w:val="85385F1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9A46AD8"/>
    <w:multiLevelType w:val="hybridMultilevel"/>
    <w:tmpl w:val="B3AA34C4"/>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4FC1B1A"/>
    <w:multiLevelType w:val="hybridMultilevel"/>
    <w:tmpl w:val="E7A08B2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8AC7A45"/>
    <w:multiLevelType w:val="hybridMultilevel"/>
    <w:tmpl w:val="0082B66C"/>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nsid w:val="62761D4B"/>
    <w:multiLevelType w:val="hybridMultilevel"/>
    <w:tmpl w:val="0986D0D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68F07A1C"/>
    <w:multiLevelType w:val="hybridMultilevel"/>
    <w:tmpl w:val="A028AC6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EC95923"/>
    <w:multiLevelType w:val="hybridMultilevel"/>
    <w:tmpl w:val="55AC1B4E"/>
    <w:lvl w:ilvl="0" w:tplc="0C465FA2">
      <w:start w:val="3"/>
      <w:numFmt w:val="lowerLetter"/>
      <w:lvlText w:val="%1)"/>
      <w:lvlJc w:val="left"/>
      <w:pPr>
        <w:ind w:left="360" w:hanging="360"/>
      </w:pPr>
      <w:rPr>
        <w:rFonts w:cs="Times New Roman"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13"/>
  </w:num>
  <w:num w:numId="3">
    <w:abstractNumId w:val="1"/>
  </w:num>
  <w:num w:numId="4">
    <w:abstractNumId w:val="7"/>
  </w:num>
  <w:num w:numId="5">
    <w:abstractNumId w:val="5"/>
  </w:num>
  <w:num w:numId="6">
    <w:abstractNumId w:val="11"/>
  </w:num>
  <w:num w:numId="7">
    <w:abstractNumId w:val="2"/>
  </w:num>
  <w:num w:numId="8">
    <w:abstractNumId w:val="3"/>
  </w:num>
  <w:num w:numId="9">
    <w:abstractNumId w:val="10"/>
  </w:num>
  <w:num w:numId="10">
    <w:abstractNumId w:val="8"/>
  </w:num>
  <w:num w:numId="11">
    <w:abstractNumId w:val="0"/>
  </w:num>
  <w:num w:numId="12">
    <w:abstractNumId w:val="6"/>
  </w:num>
  <w:num w:numId="13">
    <w:abstractNumId w:val="4"/>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F94FE3"/>
    <w:rsid w:val="00004B76"/>
    <w:rsid w:val="0004799F"/>
    <w:rsid w:val="000D1F02"/>
    <w:rsid w:val="00107C23"/>
    <w:rsid w:val="001668E1"/>
    <w:rsid w:val="001A6D18"/>
    <w:rsid w:val="001C2389"/>
    <w:rsid w:val="001C74B6"/>
    <w:rsid w:val="001F331B"/>
    <w:rsid w:val="00217948"/>
    <w:rsid w:val="00220FFD"/>
    <w:rsid w:val="0024360F"/>
    <w:rsid w:val="002A53B8"/>
    <w:rsid w:val="003061B8"/>
    <w:rsid w:val="00332389"/>
    <w:rsid w:val="00345124"/>
    <w:rsid w:val="00351CD2"/>
    <w:rsid w:val="00364244"/>
    <w:rsid w:val="00397B6C"/>
    <w:rsid w:val="0043653E"/>
    <w:rsid w:val="00450645"/>
    <w:rsid w:val="004823A7"/>
    <w:rsid w:val="004A4EF1"/>
    <w:rsid w:val="004C6AC2"/>
    <w:rsid w:val="004E3756"/>
    <w:rsid w:val="00503BD6"/>
    <w:rsid w:val="005178AF"/>
    <w:rsid w:val="0054137D"/>
    <w:rsid w:val="00572164"/>
    <w:rsid w:val="005A5C67"/>
    <w:rsid w:val="005B56E3"/>
    <w:rsid w:val="005C017E"/>
    <w:rsid w:val="005C415B"/>
    <w:rsid w:val="006231DA"/>
    <w:rsid w:val="00640058"/>
    <w:rsid w:val="00642625"/>
    <w:rsid w:val="006A0D61"/>
    <w:rsid w:val="006B3CF7"/>
    <w:rsid w:val="00705660"/>
    <w:rsid w:val="008271A1"/>
    <w:rsid w:val="008A669F"/>
    <w:rsid w:val="00905D52"/>
    <w:rsid w:val="0091576F"/>
    <w:rsid w:val="00943B86"/>
    <w:rsid w:val="00944D29"/>
    <w:rsid w:val="009A7EE5"/>
    <w:rsid w:val="009C0121"/>
    <w:rsid w:val="009D7FD9"/>
    <w:rsid w:val="00AB3DD8"/>
    <w:rsid w:val="00AF7235"/>
    <w:rsid w:val="00B5015F"/>
    <w:rsid w:val="00BD7B0E"/>
    <w:rsid w:val="00C847A1"/>
    <w:rsid w:val="00C953D1"/>
    <w:rsid w:val="00CC5FEA"/>
    <w:rsid w:val="00D02B5F"/>
    <w:rsid w:val="00D040A8"/>
    <w:rsid w:val="00D1176B"/>
    <w:rsid w:val="00D94526"/>
    <w:rsid w:val="00DA70D9"/>
    <w:rsid w:val="00DC7CF8"/>
    <w:rsid w:val="00DD7D24"/>
    <w:rsid w:val="00DE5760"/>
    <w:rsid w:val="00E22DAF"/>
    <w:rsid w:val="00E25501"/>
    <w:rsid w:val="00E4218D"/>
    <w:rsid w:val="00ED02FF"/>
    <w:rsid w:val="00EE2E29"/>
    <w:rsid w:val="00F11342"/>
    <w:rsid w:val="00F42B78"/>
    <w:rsid w:val="00F47BC9"/>
    <w:rsid w:val="00F75B36"/>
    <w:rsid w:val="00F94FE3"/>
    <w:rsid w:val="00FA11B4"/>
    <w:rsid w:val="00FF038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24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semiHidden/>
    <w:rsid w:val="00F94FE3"/>
    <w:pPr>
      <w:widowControl w:val="0"/>
      <w:suppressAutoHyphens/>
      <w:autoSpaceDE w:val="0"/>
      <w:spacing w:after="0" w:line="240" w:lineRule="auto"/>
      <w:jc w:val="both"/>
    </w:pPr>
    <w:rPr>
      <w:rFonts w:ascii="Times New Roman" w:eastAsia="Times New Roman" w:hAnsi="Times New Roman" w:cs="Times New Roman"/>
      <w:b/>
      <w:bCs/>
      <w:sz w:val="19"/>
      <w:szCs w:val="19"/>
      <w:lang w:val="es-ES_tradnl" w:eastAsia="ar-SA"/>
    </w:rPr>
  </w:style>
  <w:style w:type="character" w:customStyle="1" w:styleId="TextoindependienteCar">
    <w:name w:val="Texto independiente Car"/>
    <w:basedOn w:val="Fuentedeprrafopredeter"/>
    <w:link w:val="Textoindependiente"/>
    <w:uiPriority w:val="99"/>
    <w:semiHidden/>
    <w:rsid w:val="00F94FE3"/>
    <w:rPr>
      <w:rFonts w:ascii="Times New Roman" w:eastAsia="Times New Roman" w:hAnsi="Times New Roman" w:cs="Times New Roman"/>
      <w:b/>
      <w:bCs/>
      <w:sz w:val="19"/>
      <w:szCs w:val="19"/>
      <w:lang w:val="es-ES_tradnl" w:eastAsia="ar-SA"/>
    </w:rPr>
  </w:style>
  <w:style w:type="paragraph" w:styleId="Prrafodelista">
    <w:name w:val="List Paragraph"/>
    <w:basedOn w:val="Normal"/>
    <w:uiPriority w:val="34"/>
    <w:qFormat/>
    <w:rsid w:val="00F94FE3"/>
    <w:pPr>
      <w:ind w:left="720"/>
      <w:contextualSpacing/>
    </w:pPr>
  </w:style>
  <w:style w:type="paragraph" w:styleId="Textodeglobo">
    <w:name w:val="Balloon Text"/>
    <w:basedOn w:val="Normal"/>
    <w:link w:val="TextodegloboCar"/>
    <w:uiPriority w:val="99"/>
    <w:semiHidden/>
    <w:unhideWhenUsed/>
    <w:rsid w:val="00B501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015F"/>
    <w:rPr>
      <w:rFonts w:ascii="Tahoma" w:hAnsi="Tahoma" w:cs="Tahoma"/>
      <w:sz w:val="16"/>
      <w:szCs w:val="16"/>
    </w:rPr>
  </w:style>
  <w:style w:type="paragraph" w:styleId="Encabezado">
    <w:name w:val="header"/>
    <w:basedOn w:val="Normal"/>
    <w:link w:val="EncabezadoCar"/>
    <w:uiPriority w:val="99"/>
    <w:unhideWhenUsed/>
    <w:rsid w:val="00AB3DD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B3DD8"/>
  </w:style>
  <w:style w:type="paragraph" w:styleId="Piedepgina">
    <w:name w:val="footer"/>
    <w:basedOn w:val="Normal"/>
    <w:link w:val="PiedepginaCar"/>
    <w:uiPriority w:val="99"/>
    <w:unhideWhenUsed/>
    <w:rsid w:val="00AB3DD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B3DD8"/>
  </w:style>
  <w:style w:type="character" w:styleId="Refdecomentario">
    <w:name w:val="annotation reference"/>
    <w:basedOn w:val="Fuentedeprrafopredeter"/>
    <w:uiPriority w:val="99"/>
    <w:semiHidden/>
    <w:unhideWhenUsed/>
    <w:rsid w:val="00BD7B0E"/>
    <w:rPr>
      <w:sz w:val="16"/>
      <w:szCs w:val="16"/>
    </w:rPr>
  </w:style>
  <w:style w:type="paragraph" w:styleId="Textocomentario">
    <w:name w:val="annotation text"/>
    <w:basedOn w:val="Normal"/>
    <w:link w:val="TextocomentarioCar"/>
    <w:uiPriority w:val="99"/>
    <w:semiHidden/>
    <w:unhideWhenUsed/>
    <w:rsid w:val="00BD7B0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D7B0E"/>
    <w:rPr>
      <w:sz w:val="20"/>
      <w:szCs w:val="20"/>
    </w:rPr>
  </w:style>
  <w:style w:type="paragraph" w:styleId="Asuntodelcomentario">
    <w:name w:val="annotation subject"/>
    <w:basedOn w:val="Textocomentario"/>
    <w:next w:val="Textocomentario"/>
    <w:link w:val="AsuntodelcomentarioCar"/>
    <w:uiPriority w:val="99"/>
    <w:semiHidden/>
    <w:unhideWhenUsed/>
    <w:rsid w:val="00BD7B0E"/>
    <w:rPr>
      <w:b/>
      <w:bCs/>
    </w:rPr>
  </w:style>
  <w:style w:type="character" w:customStyle="1" w:styleId="AsuntodelcomentarioCar">
    <w:name w:val="Asunto del comentario Car"/>
    <w:basedOn w:val="TextocomentarioCar"/>
    <w:link w:val="Asuntodelcomentario"/>
    <w:uiPriority w:val="99"/>
    <w:semiHidden/>
    <w:rsid w:val="00BD7B0E"/>
    <w:rPr>
      <w:b/>
      <w:bCs/>
      <w:sz w:val="20"/>
      <w:szCs w:val="20"/>
    </w:rPr>
  </w:style>
  <w:style w:type="paragraph" w:styleId="Revisin">
    <w:name w:val="Revision"/>
    <w:hidden/>
    <w:uiPriority w:val="99"/>
    <w:semiHidden/>
    <w:rsid w:val="00BD7B0E"/>
    <w:pPr>
      <w:spacing w:after="0" w:line="240" w:lineRule="auto"/>
    </w:pPr>
  </w:style>
  <w:style w:type="paragraph" w:styleId="Sinespaciado">
    <w:name w:val="No Spacing"/>
    <w:uiPriority w:val="1"/>
    <w:qFormat/>
    <w:rsid w:val="00BD7B0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semiHidden/>
    <w:rsid w:val="00F94FE3"/>
    <w:pPr>
      <w:widowControl w:val="0"/>
      <w:suppressAutoHyphens/>
      <w:autoSpaceDE w:val="0"/>
      <w:spacing w:after="0" w:line="240" w:lineRule="auto"/>
      <w:jc w:val="both"/>
    </w:pPr>
    <w:rPr>
      <w:rFonts w:ascii="Times New Roman" w:eastAsia="Times New Roman" w:hAnsi="Times New Roman" w:cs="Times New Roman"/>
      <w:b/>
      <w:bCs/>
      <w:sz w:val="19"/>
      <w:szCs w:val="19"/>
      <w:lang w:val="es-ES_tradnl" w:eastAsia="ar-SA"/>
    </w:rPr>
  </w:style>
  <w:style w:type="character" w:customStyle="1" w:styleId="TextoindependienteCar">
    <w:name w:val="Texto independiente Car"/>
    <w:basedOn w:val="Fuentedeprrafopredeter"/>
    <w:link w:val="Textoindependiente"/>
    <w:uiPriority w:val="99"/>
    <w:semiHidden/>
    <w:rsid w:val="00F94FE3"/>
    <w:rPr>
      <w:rFonts w:ascii="Times New Roman" w:eastAsia="Times New Roman" w:hAnsi="Times New Roman" w:cs="Times New Roman"/>
      <w:b/>
      <w:bCs/>
      <w:sz w:val="19"/>
      <w:szCs w:val="19"/>
      <w:lang w:val="es-ES_tradnl" w:eastAsia="ar-SA"/>
    </w:rPr>
  </w:style>
  <w:style w:type="paragraph" w:styleId="Prrafodelista">
    <w:name w:val="List Paragraph"/>
    <w:basedOn w:val="Normal"/>
    <w:uiPriority w:val="34"/>
    <w:qFormat/>
    <w:rsid w:val="00F94FE3"/>
    <w:pPr>
      <w:ind w:left="720"/>
      <w:contextualSpacing/>
    </w:pPr>
  </w:style>
  <w:style w:type="paragraph" w:styleId="Textodeglobo">
    <w:name w:val="Balloon Text"/>
    <w:basedOn w:val="Normal"/>
    <w:link w:val="TextodegloboCar"/>
    <w:uiPriority w:val="99"/>
    <w:semiHidden/>
    <w:unhideWhenUsed/>
    <w:rsid w:val="00B501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015F"/>
    <w:rPr>
      <w:rFonts w:ascii="Tahoma" w:hAnsi="Tahoma" w:cs="Tahoma"/>
      <w:sz w:val="16"/>
      <w:szCs w:val="16"/>
    </w:rPr>
  </w:style>
  <w:style w:type="paragraph" w:styleId="Encabezado">
    <w:name w:val="header"/>
    <w:basedOn w:val="Normal"/>
    <w:link w:val="EncabezadoCar"/>
    <w:uiPriority w:val="99"/>
    <w:unhideWhenUsed/>
    <w:rsid w:val="00AB3DD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B3DD8"/>
  </w:style>
  <w:style w:type="paragraph" w:styleId="Piedepgina">
    <w:name w:val="footer"/>
    <w:basedOn w:val="Normal"/>
    <w:link w:val="PiedepginaCar"/>
    <w:uiPriority w:val="99"/>
    <w:unhideWhenUsed/>
    <w:rsid w:val="00AB3DD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B3DD8"/>
  </w:style>
  <w:style w:type="character" w:styleId="Refdecomentario">
    <w:name w:val="annotation reference"/>
    <w:basedOn w:val="Fuentedeprrafopredeter"/>
    <w:uiPriority w:val="99"/>
    <w:semiHidden/>
    <w:unhideWhenUsed/>
    <w:rsid w:val="00BD7B0E"/>
    <w:rPr>
      <w:sz w:val="16"/>
      <w:szCs w:val="16"/>
    </w:rPr>
  </w:style>
  <w:style w:type="paragraph" w:styleId="Textocomentario">
    <w:name w:val="annotation text"/>
    <w:basedOn w:val="Normal"/>
    <w:link w:val="TextocomentarioCar"/>
    <w:uiPriority w:val="99"/>
    <w:semiHidden/>
    <w:unhideWhenUsed/>
    <w:rsid w:val="00BD7B0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D7B0E"/>
    <w:rPr>
      <w:sz w:val="20"/>
      <w:szCs w:val="20"/>
    </w:rPr>
  </w:style>
  <w:style w:type="paragraph" w:styleId="Asuntodelcomentario">
    <w:name w:val="annotation subject"/>
    <w:basedOn w:val="Textocomentario"/>
    <w:next w:val="Textocomentario"/>
    <w:link w:val="AsuntodelcomentarioCar"/>
    <w:uiPriority w:val="99"/>
    <w:semiHidden/>
    <w:unhideWhenUsed/>
    <w:rsid w:val="00BD7B0E"/>
    <w:rPr>
      <w:b/>
      <w:bCs/>
    </w:rPr>
  </w:style>
  <w:style w:type="character" w:customStyle="1" w:styleId="AsuntodelcomentarioCar">
    <w:name w:val="Asunto del comentario Car"/>
    <w:basedOn w:val="TextocomentarioCar"/>
    <w:link w:val="Asuntodelcomentario"/>
    <w:uiPriority w:val="99"/>
    <w:semiHidden/>
    <w:rsid w:val="00BD7B0E"/>
    <w:rPr>
      <w:b/>
      <w:bCs/>
      <w:sz w:val="20"/>
      <w:szCs w:val="20"/>
    </w:rPr>
  </w:style>
  <w:style w:type="paragraph" w:styleId="Revisin">
    <w:name w:val="Revision"/>
    <w:hidden/>
    <w:uiPriority w:val="99"/>
    <w:semiHidden/>
    <w:rsid w:val="00BD7B0E"/>
    <w:pPr>
      <w:spacing w:after="0" w:line="240" w:lineRule="auto"/>
    </w:pPr>
  </w:style>
  <w:style w:type="paragraph" w:styleId="Sinespaciado">
    <w:name w:val="No Spacing"/>
    <w:uiPriority w:val="1"/>
    <w:qFormat/>
    <w:rsid w:val="00BD7B0E"/>
    <w:pPr>
      <w:spacing w:after="0" w:line="240" w:lineRule="auto"/>
    </w:pPr>
  </w:style>
</w:styles>
</file>

<file path=word/webSettings.xml><?xml version="1.0" encoding="utf-8"?>
<w:webSettings xmlns:r="http://schemas.openxmlformats.org/officeDocument/2006/relationships" xmlns:w="http://schemas.openxmlformats.org/wordprocessingml/2006/main">
  <w:divs>
    <w:div w:id="105586314">
      <w:bodyDiv w:val="1"/>
      <w:marLeft w:val="0"/>
      <w:marRight w:val="0"/>
      <w:marTop w:val="0"/>
      <w:marBottom w:val="0"/>
      <w:divBdr>
        <w:top w:val="none" w:sz="0" w:space="0" w:color="auto"/>
        <w:left w:val="none" w:sz="0" w:space="0" w:color="auto"/>
        <w:bottom w:val="none" w:sz="0" w:space="0" w:color="auto"/>
        <w:right w:val="none" w:sz="0" w:space="0" w:color="auto"/>
      </w:divBdr>
    </w:div>
    <w:div w:id="207108450">
      <w:bodyDiv w:val="1"/>
      <w:marLeft w:val="0"/>
      <w:marRight w:val="0"/>
      <w:marTop w:val="0"/>
      <w:marBottom w:val="0"/>
      <w:divBdr>
        <w:top w:val="none" w:sz="0" w:space="0" w:color="auto"/>
        <w:left w:val="none" w:sz="0" w:space="0" w:color="auto"/>
        <w:bottom w:val="none" w:sz="0" w:space="0" w:color="auto"/>
        <w:right w:val="none" w:sz="0" w:space="0" w:color="auto"/>
      </w:divBdr>
    </w:div>
    <w:div w:id="325977999">
      <w:bodyDiv w:val="1"/>
      <w:marLeft w:val="0"/>
      <w:marRight w:val="0"/>
      <w:marTop w:val="0"/>
      <w:marBottom w:val="0"/>
      <w:divBdr>
        <w:top w:val="none" w:sz="0" w:space="0" w:color="auto"/>
        <w:left w:val="none" w:sz="0" w:space="0" w:color="auto"/>
        <w:bottom w:val="none" w:sz="0" w:space="0" w:color="auto"/>
        <w:right w:val="none" w:sz="0" w:space="0" w:color="auto"/>
      </w:divBdr>
    </w:div>
    <w:div w:id="394747334">
      <w:bodyDiv w:val="1"/>
      <w:marLeft w:val="0"/>
      <w:marRight w:val="0"/>
      <w:marTop w:val="0"/>
      <w:marBottom w:val="0"/>
      <w:divBdr>
        <w:top w:val="none" w:sz="0" w:space="0" w:color="auto"/>
        <w:left w:val="none" w:sz="0" w:space="0" w:color="auto"/>
        <w:bottom w:val="none" w:sz="0" w:space="0" w:color="auto"/>
        <w:right w:val="none" w:sz="0" w:space="0" w:color="auto"/>
      </w:divBdr>
    </w:div>
    <w:div w:id="426390701">
      <w:bodyDiv w:val="1"/>
      <w:marLeft w:val="0"/>
      <w:marRight w:val="0"/>
      <w:marTop w:val="0"/>
      <w:marBottom w:val="0"/>
      <w:divBdr>
        <w:top w:val="none" w:sz="0" w:space="0" w:color="auto"/>
        <w:left w:val="none" w:sz="0" w:space="0" w:color="auto"/>
        <w:bottom w:val="none" w:sz="0" w:space="0" w:color="auto"/>
        <w:right w:val="none" w:sz="0" w:space="0" w:color="auto"/>
      </w:divBdr>
    </w:div>
    <w:div w:id="457457361">
      <w:bodyDiv w:val="1"/>
      <w:marLeft w:val="0"/>
      <w:marRight w:val="0"/>
      <w:marTop w:val="0"/>
      <w:marBottom w:val="0"/>
      <w:divBdr>
        <w:top w:val="none" w:sz="0" w:space="0" w:color="auto"/>
        <w:left w:val="none" w:sz="0" w:space="0" w:color="auto"/>
        <w:bottom w:val="none" w:sz="0" w:space="0" w:color="auto"/>
        <w:right w:val="none" w:sz="0" w:space="0" w:color="auto"/>
      </w:divBdr>
    </w:div>
    <w:div w:id="659888928">
      <w:bodyDiv w:val="1"/>
      <w:marLeft w:val="0"/>
      <w:marRight w:val="0"/>
      <w:marTop w:val="0"/>
      <w:marBottom w:val="0"/>
      <w:divBdr>
        <w:top w:val="none" w:sz="0" w:space="0" w:color="auto"/>
        <w:left w:val="none" w:sz="0" w:space="0" w:color="auto"/>
        <w:bottom w:val="none" w:sz="0" w:space="0" w:color="auto"/>
        <w:right w:val="none" w:sz="0" w:space="0" w:color="auto"/>
      </w:divBdr>
    </w:div>
    <w:div w:id="730157227">
      <w:bodyDiv w:val="1"/>
      <w:marLeft w:val="0"/>
      <w:marRight w:val="0"/>
      <w:marTop w:val="0"/>
      <w:marBottom w:val="0"/>
      <w:divBdr>
        <w:top w:val="none" w:sz="0" w:space="0" w:color="auto"/>
        <w:left w:val="none" w:sz="0" w:space="0" w:color="auto"/>
        <w:bottom w:val="none" w:sz="0" w:space="0" w:color="auto"/>
        <w:right w:val="none" w:sz="0" w:space="0" w:color="auto"/>
      </w:divBdr>
    </w:div>
    <w:div w:id="747701403">
      <w:bodyDiv w:val="1"/>
      <w:marLeft w:val="0"/>
      <w:marRight w:val="0"/>
      <w:marTop w:val="0"/>
      <w:marBottom w:val="0"/>
      <w:divBdr>
        <w:top w:val="none" w:sz="0" w:space="0" w:color="auto"/>
        <w:left w:val="none" w:sz="0" w:space="0" w:color="auto"/>
        <w:bottom w:val="none" w:sz="0" w:space="0" w:color="auto"/>
        <w:right w:val="none" w:sz="0" w:space="0" w:color="auto"/>
      </w:divBdr>
    </w:div>
    <w:div w:id="888342270">
      <w:bodyDiv w:val="1"/>
      <w:marLeft w:val="0"/>
      <w:marRight w:val="0"/>
      <w:marTop w:val="0"/>
      <w:marBottom w:val="0"/>
      <w:divBdr>
        <w:top w:val="none" w:sz="0" w:space="0" w:color="auto"/>
        <w:left w:val="none" w:sz="0" w:space="0" w:color="auto"/>
        <w:bottom w:val="none" w:sz="0" w:space="0" w:color="auto"/>
        <w:right w:val="none" w:sz="0" w:space="0" w:color="auto"/>
      </w:divBdr>
    </w:div>
    <w:div w:id="907611747">
      <w:bodyDiv w:val="1"/>
      <w:marLeft w:val="0"/>
      <w:marRight w:val="0"/>
      <w:marTop w:val="0"/>
      <w:marBottom w:val="0"/>
      <w:divBdr>
        <w:top w:val="none" w:sz="0" w:space="0" w:color="auto"/>
        <w:left w:val="none" w:sz="0" w:space="0" w:color="auto"/>
        <w:bottom w:val="none" w:sz="0" w:space="0" w:color="auto"/>
        <w:right w:val="none" w:sz="0" w:space="0" w:color="auto"/>
      </w:divBdr>
    </w:div>
    <w:div w:id="1363477482">
      <w:bodyDiv w:val="1"/>
      <w:marLeft w:val="0"/>
      <w:marRight w:val="0"/>
      <w:marTop w:val="0"/>
      <w:marBottom w:val="0"/>
      <w:divBdr>
        <w:top w:val="none" w:sz="0" w:space="0" w:color="auto"/>
        <w:left w:val="none" w:sz="0" w:space="0" w:color="auto"/>
        <w:bottom w:val="none" w:sz="0" w:space="0" w:color="auto"/>
        <w:right w:val="none" w:sz="0" w:space="0" w:color="auto"/>
      </w:divBdr>
    </w:div>
    <w:div w:id="1380134223">
      <w:bodyDiv w:val="1"/>
      <w:marLeft w:val="0"/>
      <w:marRight w:val="0"/>
      <w:marTop w:val="0"/>
      <w:marBottom w:val="0"/>
      <w:divBdr>
        <w:top w:val="none" w:sz="0" w:space="0" w:color="auto"/>
        <w:left w:val="none" w:sz="0" w:space="0" w:color="auto"/>
        <w:bottom w:val="none" w:sz="0" w:space="0" w:color="auto"/>
        <w:right w:val="none" w:sz="0" w:space="0" w:color="auto"/>
      </w:divBdr>
    </w:div>
    <w:div w:id="1546798439">
      <w:bodyDiv w:val="1"/>
      <w:marLeft w:val="0"/>
      <w:marRight w:val="0"/>
      <w:marTop w:val="0"/>
      <w:marBottom w:val="0"/>
      <w:divBdr>
        <w:top w:val="none" w:sz="0" w:space="0" w:color="auto"/>
        <w:left w:val="none" w:sz="0" w:space="0" w:color="auto"/>
        <w:bottom w:val="none" w:sz="0" w:space="0" w:color="auto"/>
        <w:right w:val="none" w:sz="0" w:space="0" w:color="auto"/>
      </w:divBdr>
    </w:div>
    <w:div w:id="1624262612">
      <w:bodyDiv w:val="1"/>
      <w:marLeft w:val="0"/>
      <w:marRight w:val="0"/>
      <w:marTop w:val="0"/>
      <w:marBottom w:val="0"/>
      <w:divBdr>
        <w:top w:val="none" w:sz="0" w:space="0" w:color="auto"/>
        <w:left w:val="none" w:sz="0" w:space="0" w:color="auto"/>
        <w:bottom w:val="none" w:sz="0" w:space="0" w:color="auto"/>
        <w:right w:val="none" w:sz="0" w:space="0" w:color="auto"/>
      </w:divBdr>
    </w:div>
    <w:div w:id="2043358535">
      <w:bodyDiv w:val="1"/>
      <w:marLeft w:val="0"/>
      <w:marRight w:val="0"/>
      <w:marTop w:val="0"/>
      <w:marBottom w:val="0"/>
      <w:divBdr>
        <w:top w:val="none" w:sz="0" w:space="0" w:color="auto"/>
        <w:left w:val="none" w:sz="0" w:space="0" w:color="auto"/>
        <w:bottom w:val="none" w:sz="0" w:space="0" w:color="auto"/>
        <w:right w:val="none" w:sz="0" w:space="0" w:color="auto"/>
      </w:divBdr>
    </w:div>
    <w:div w:id="2079550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C59C0-CF05-4D1E-BA92-C2B0C9AB1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1705</Words>
  <Characters>9383</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Acer</Company>
  <LinksUpToDate>false</LinksUpToDate>
  <CharactersWithSpaces>11066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Valued Acer Customer</cp:lastModifiedBy>
  <cp:revision>2</cp:revision>
  <cp:lastPrinted>2012-08-27T13:27:00Z</cp:lastPrinted>
  <dcterms:created xsi:type="dcterms:W3CDTF">2012-09-01T22:53:00Z</dcterms:created>
  <dcterms:modified xsi:type="dcterms:W3CDTF">2012-09-01T22:53:00Z</dcterms:modified>
</cp:coreProperties>
</file>